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FC" w:rsidRPr="00DD308F" w:rsidRDefault="00C03C5E">
      <w:pPr>
        <w:rPr>
          <w:rFonts w:ascii="Arial" w:hAnsi="Arial" w:cs="Arial"/>
        </w:rPr>
      </w:pPr>
      <w:bookmarkStart w:id="0" w:name="_top"/>
      <w:bookmarkEnd w:id="0"/>
      <w:r w:rsidRPr="00DD308F">
        <w:rPr>
          <w:rFonts w:ascii="Arial" w:hAnsi="Arial" w:cs="Arial"/>
          <w:b/>
        </w:rPr>
        <w:t>Establishment of Environmental and Social Framework at the Cooperate Level</w:t>
      </w:r>
    </w:p>
    <w:p w:rsidR="00E343FC" w:rsidRPr="00DD308F" w:rsidRDefault="00C03C5E">
      <w:pPr>
        <w:rPr>
          <w:rFonts w:ascii="Arial" w:hAnsi="Arial" w:cs="Arial"/>
        </w:rPr>
      </w:pPr>
      <w:r w:rsidRPr="00DD308F">
        <w:rPr>
          <w:rFonts w:ascii="Arial" w:hAnsi="Arial" w:cs="Arial"/>
          <w:b/>
        </w:rPr>
        <w:t>Chang-young Byun, K-water (Korea Water Resources Cooperation)</w:t>
      </w:r>
    </w:p>
    <w:p w:rsidR="00E343FC" w:rsidRPr="00DD308F" w:rsidRDefault="00E343FC">
      <w:pPr>
        <w:rPr>
          <w:rFonts w:ascii="Arial" w:hAnsi="Arial" w:cs="Arial"/>
          <w:b/>
        </w:rPr>
      </w:pPr>
    </w:p>
    <w:p w:rsidR="00E343FC" w:rsidRPr="00DD308F" w:rsidRDefault="00C03C5E">
      <w:pPr>
        <w:rPr>
          <w:rFonts w:ascii="Arial" w:hAnsi="Arial" w:cs="Arial"/>
        </w:rPr>
      </w:pPr>
      <w:r w:rsidRPr="00DD308F">
        <w:rPr>
          <w:rFonts w:ascii="Arial" w:hAnsi="Arial" w:cs="Arial"/>
          <w:b/>
        </w:rPr>
        <w:t>Abstract</w:t>
      </w: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t>K-water</w:t>
      </w:r>
      <w:r w:rsidR="00F60A1E" w:rsidRPr="00DD308F">
        <w:rPr>
          <w:rFonts w:ascii="Arial" w:hAnsi="Arial" w:cs="Arial"/>
        </w:rPr>
        <w:t xml:space="preserve"> </w:t>
      </w:r>
      <w:r w:rsidRPr="00DD308F">
        <w:rPr>
          <w:rFonts w:ascii="Arial" w:hAnsi="Arial" w:cs="Arial"/>
        </w:rPr>
        <w:t>(Korea Water Resources Cooperation)</w:t>
      </w:r>
      <w:r w:rsidR="0072522A">
        <w:rPr>
          <w:rFonts w:ascii="Arial" w:hAnsi="Arial" w:cs="Arial"/>
        </w:rPr>
        <w:t>, Korean Government Owned cooperation,</w:t>
      </w:r>
      <w:r w:rsidRPr="00DD308F">
        <w:rPr>
          <w:rFonts w:ascii="Arial" w:hAnsi="Arial" w:cs="Arial"/>
        </w:rPr>
        <w:t xml:space="preserve"> is conducting infrastructure investment projects in the Solomon Islands, Indonesia, Georgia, and other countries. However, K-water faced challenges due to a lack of understanding of environmental and social policies of international financial institutions such as the World Bank, ADB, IBRD and commercial banks. To minimize environmental and social impact and adhere to the policies of these financial institutions, K-water has been comparing and analy</w:t>
      </w:r>
      <w:r w:rsidR="002E2F71" w:rsidRPr="00DD308F">
        <w:rPr>
          <w:rFonts w:ascii="Arial" w:hAnsi="Arial" w:cs="Arial"/>
        </w:rPr>
        <w:t>z</w:t>
      </w:r>
      <w:r w:rsidRPr="00DD308F">
        <w:rPr>
          <w:rFonts w:ascii="Arial" w:hAnsi="Arial" w:cs="Arial"/>
        </w:rPr>
        <w:t>ing the environmental and social policies of Multilateral Development Bank</w:t>
      </w:r>
      <w:r w:rsidR="006B7514" w:rsidRPr="00DD308F">
        <w:rPr>
          <w:rFonts w:ascii="Arial" w:hAnsi="Arial" w:cs="Arial"/>
        </w:rPr>
        <w:t>s</w:t>
      </w:r>
      <w:r w:rsidR="00ED4785" w:rsidRPr="00DD308F">
        <w:rPr>
          <w:rFonts w:ascii="Arial" w:hAnsi="Arial" w:cs="Arial"/>
        </w:rPr>
        <w:t xml:space="preserve"> </w:t>
      </w:r>
      <w:r w:rsidR="006B7514" w:rsidRPr="00DD308F">
        <w:rPr>
          <w:rFonts w:ascii="Arial" w:hAnsi="Arial" w:cs="Arial"/>
        </w:rPr>
        <w:t>(MDBs)</w:t>
      </w:r>
      <w:r w:rsidRPr="00DD308F">
        <w:rPr>
          <w:rFonts w:ascii="Arial" w:hAnsi="Arial" w:cs="Arial"/>
        </w:rPr>
        <w:t xml:space="preserve"> and Equator principles. Through such comparative analysis, K-water has established the scope and methods for environmental and social reviews at different stages (</w:t>
      </w:r>
      <w:r w:rsidR="003A693B" w:rsidRPr="00DD308F">
        <w:rPr>
          <w:rFonts w:ascii="Arial" w:hAnsi="Arial" w:cs="Arial"/>
        </w:rPr>
        <w:t>proposal</w:t>
      </w:r>
      <w:r w:rsidRPr="00DD308F">
        <w:rPr>
          <w:rFonts w:ascii="Arial" w:hAnsi="Arial" w:cs="Arial"/>
        </w:rPr>
        <w:t>, pre-feasibility study, feasibility study, environmental and social impact assessment, construction, and operational phases) of its investment projects. Furthermore, specific technical guidelines have been developed for each stage, applied in K-water's key infrastructure projects, including dam construction, solar energy, water supply development, and urban development</w:t>
      </w:r>
      <w:r w:rsidR="00CD7924" w:rsidRPr="00DD308F">
        <w:rPr>
          <w:rFonts w:ascii="Arial" w:hAnsi="Arial" w:cs="Arial"/>
        </w:rPr>
        <w:t xml:space="preserve"> projects</w:t>
      </w:r>
      <w:r w:rsidRPr="00DD308F">
        <w:rPr>
          <w:rFonts w:ascii="Arial" w:hAnsi="Arial" w:cs="Arial"/>
        </w:rPr>
        <w:t>. K-water expects that the framework and technical guidelines it has established will meet global environmental and social standards through collaborative reviews by domestic and international experts.</w:t>
      </w:r>
    </w:p>
    <w:p w:rsidR="00E343FC" w:rsidRPr="00DD308F" w:rsidRDefault="00E343FC">
      <w:pPr>
        <w:rPr>
          <w:rFonts w:ascii="Arial" w:hAnsi="Arial" w:cs="Arial"/>
          <w:sz w:val="16"/>
          <w:szCs w:val="16"/>
        </w:rPr>
      </w:pPr>
    </w:p>
    <w:p w:rsidR="00E343FC" w:rsidRPr="00DD308F" w:rsidRDefault="00C03C5E">
      <w:pPr>
        <w:rPr>
          <w:rFonts w:ascii="Arial" w:hAnsi="Arial" w:cs="Arial"/>
        </w:rPr>
      </w:pPr>
      <w:r w:rsidRPr="00DD308F">
        <w:rPr>
          <w:rFonts w:ascii="Arial" w:hAnsi="Arial" w:cs="Arial"/>
          <w:b/>
          <w:sz w:val="22"/>
        </w:rPr>
        <w:t>1. Introduction</w:t>
      </w:r>
    </w:p>
    <w:p w:rsidR="00E343FC" w:rsidRPr="00DD308F" w:rsidRDefault="00C03C5E">
      <w:pPr>
        <w:pStyle w:val="a4"/>
        <w:rPr>
          <w:rFonts w:ascii="Arial" w:hAnsi="Arial" w:cs="Arial"/>
        </w:rPr>
      </w:pPr>
      <w:r w:rsidRPr="00DD308F">
        <w:rPr>
          <w:rFonts w:ascii="Arial" w:hAnsi="Arial" w:cs="Arial"/>
        </w:rPr>
        <w:t xml:space="preserve">Overseas business opportunities are growing as MBDs and the Korean government invest more overseas. The World Bank Group is expected to invest KRW 820 trillion in 2022, the Korean government is expected to invest KRW 3.6 trillion in ODA projects by 2024, and the </w:t>
      </w:r>
      <w:r w:rsidR="00777906" w:rsidRPr="00DD308F">
        <w:rPr>
          <w:rFonts w:ascii="Arial" w:hAnsi="Arial" w:cs="Arial"/>
        </w:rPr>
        <w:t>Economic Development Cooperation Fund (</w:t>
      </w:r>
      <w:r w:rsidRPr="00DD308F">
        <w:rPr>
          <w:rFonts w:ascii="Arial" w:hAnsi="Arial" w:cs="Arial"/>
        </w:rPr>
        <w:t>EDCF</w:t>
      </w:r>
      <w:r w:rsidR="00777906" w:rsidRPr="00DD308F">
        <w:rPr>
          <w:rFonts w:ascii="Arial" w:hAnsi="Arial" w:cs="Arial"/>
        </w:rPr>
        <w:t>)</w:t>
      </w:r>
      <w:r w:rsidRPr="00DD308F">
        <w:rPr>
          <w:rFonts w:ascii="Arial" w:hAnsi="Arial" w:cs="Arial"/>
        </w:rPr>
        <w:t xml:space="preserve"> is expected to invest KRW 11.4 trillion. Along with these investments, the World Bank, continental financial organi</w:t>
      </w:r>
      <w:r w:rsidR="002E2F71" w:rsidRPr="00DD308F">
        <w:rPr>
          <w:rFonts w:ascii="Arial" w:hAnsi="Arial" w:cs="Arial"/>
        </w:rPr>
        <w:t>z</w:t>
      </w:r>
      <w:r w:rsidRPr="00DD308F">
        <w:rPr>
          <w:rFonts w:ascii="Arial" w:hAnsi="Arial" w:cs="Arial"/>
        </w:rPr>
        <w:t xml:space="preserve">ations, and general financial companies are strengthening their environmental and social policies and standards for projects to a similar level and applying standard criteria. However, K-water's overseas projects are experiencing an increasing number of project delays due to environmental and social issues, and </w:t>
      </w:r>
      <w:r w:rsidR="00CB1EB3" w:rsidRPr="00DD308F">
        <w:rPr>
          <w:rFonts w:ascii="Arial" w:hAnsi="Arial" w:cs="Arial"/>
        </w:rPr>
        <w:t xml:space="preserve">K-water’s </w:t>
      </w:r>
      <w:r w:rsidRPr="00DD308F">
        <w:rPr>
          <w:rFonts w:ascii="Arial" w:hAnsi="Arial" w:cs="Arial"/>
        </w:rPr>
        <w:t>policies and approaches need to be strengthened. In particular, the Tina Hydropower Project in Solomon Islands experienced a 40-month delay in the approval of the Environmental Social Management Plan (ESMP), additional consulting costs due to the delay, and increased construction overheads. In addition, the</w:t>
      </w:r>
      <w:r w:rsidR="00D703B7" w:rsidRPr="00DD308F">
        <w:rPr>
          <w:rFonts w:ascii="Arial" w:hAnsi="Arial" w:cs="Arial"/>
        </w:rPr>
        <w:t xml:space="preserve"> </w:t>
      </w:r>
      <w:r w:rsidRPr="00DD308F">
        <w:rPr>
          <w:rFonts w:ascii="Arial" w:hAnsi="Arial" w:cs="Arial"/>
        </w:rPr>
        <w:t xml:space="preserve">Nenskra Project in Georgia is also experiencing difficulties in responding to environmental and social issues. </w:t>
      </w:r>
    </w:p>
    <w:p w:rsidR="00E343FC" w:rsidRPr="00DD308F" w:rsidRDefault="00C03C5E">
      <w:pPr>
        <w:pStyle w:val="a4"/>
        <w:rPr>
          <w:rFonts w:ascii="Arial" w:hAnsi="Arial" w:cs="Arial"/>
        </w:rPr>
      </w:pPr>
      <w:r w:rsidRPr="00DD308F">
        <w:rPr>
          <w:rFonts w:ascii="Arial" w:hAnsi="Arial" w:cs="Arial"/>
        </w:rPr>
        <w:t xml:space="preserve">To </w:t>
      </w:r>
      <w:r w:rsidR="00CB1EB3" w:rsidRPr="00DD308F">
        <w:rPr>
          <w:rFonts w:ascii="Arial" w:hAnsi="Arial" w:cs="Arial"/>
        </w:rPr>
        <w:t>overcome</w:t>
      </w:r>
      <w:r w:rsidRPr="00DD308F">
        <w:rPr>
          <w:rFonts w:ascii="Arial" w:hAnsi="Arial" w:cs="Arial"/>
        </w:rPr>
        <w:t xml:space="preserve"> the shortcomings in the project implementation process, K-water established a strategy to strengthen the environmental and social management of overseas projects in 2022. The strategy includes nine tasks in three areas, divided into three standardi</w:t>
      </w:r>
      <w:r w:rsidR="00AE610D" w:rsidRPr="00DD308F">
        <w:rPr>
          <w:rFonts w:ascii="Arial" w:hAnsi="Arial" w:cs="Arial"/>
        </w:rPr>
        <w:t>z</w:t>
      </w:r>
      <w:r w:rsidRPr="00DD308F">
        <w:rPr>
          <w:rFonts w:ascii="Arial" w:hAnsi="Arial" w:cs="Arial"/>
        </w:rPr>
        <w:t>ation tasks, three institutional improvement tasks, and three human capacity building tasks. As part of the standardi</w:t>
      </w:r>
      <w:r w:rsidR="00AE610D" w:rsidRPr="00DD308F">
        <w:rPr>
          <w:rFonts w:ascii="Arial" w:hAnsi="Arial" w:cs="Arial"/>
        </w:rPr>
        <w:t>z</w:t>
      </w:r>
      <w:r w:rsidRPr="00DD308F">
        <w:rPr>
          <w:rFonts w:ascii="Arial" w:hAnsi="Arial" w:cs="Arial"/>
        </w:rPr>
        <w:t>ation task, K-water establish</w:t>
      </w:r>
      <w:r w:rsidR="00CB1EB3" w:rsidRPr="00DD308F">
        <w:rPr>
          <w:rFonts w:ascii="Arial" w:hAnsi="Arial" w:cs="Arial"/>
        </w:rPr>
        <w:t>ed</w:t>
      </w:r>
      <w:r w:rsidRPr="00DD308F">
        <w:rPr>
          <w:rFonts w:ascii="Arial" w:hAnsi="Arial" w:cs="Arial"/>
        </w:rPr>
        <w:t xml:space="preserve"> company-wide environmental and social management standards for overseas projects. </w:t>
      </w:r>
    </w:p>
    <w:p w:rsidR="00721DF6" w:rsidRPr="00DD308F" w:rsidRDefault="00721DF6">
      <w:pPr>
        <w:pStyle w:val="a4"/>
        <w:rPr>
          <w:rFonts w:ascii="Arial" w:hAnsi="Arial" w:cs="Arial"/>
        </w:rPr>
      </w:pPr>
    </w:p>
    <w:p w:rsidR="00E343FC" w:rsidRPr="00DD308F" w:rsidRDefault="00C03C5E">
      <w:pPr>
        <w:pStyle w:val="a4"/>
        <w:rPr>
          <w:rFonts w:ascii="Arial" w:hAnsi="Arial" w:cs="Arial"/>
        </w:rPr>
      </w:pPr>
      <w:r w:rsidRPr="00DD308F">
        <w:rPr>
          <w:rFonts w:ascii="Arial" w:hAnsi="Arial" w:cs="Arial"/>
          <w:b/>
          <w:sz w:val="22"/>
        </w:rPr>
        <w:t>2. Methods</w:t>
      </w:r>
    </w:p>
    <w:p w:rsidR="00E343FC" w:rsidRPr="00DD308F" w:rsidRDefault="00C03C5E">
      <w:pPr>
        <w:pStyle w:val="a4"/>
        <w:rPr>
          <w:rFonts w:ascii="Arial" w:hAnsi="Arial" w:cs="Arial"/>
        </w:rPr>
      </w:pPr>
      <w:r w:rsidRPr="00DD308F">
        <w:rPr>
          <w:rFonts w:ascii="Arial" w:hAnsi="Arial" w:cs="Arial"/>
        </w:rPr>
        <w:t>In order to establish company-wide environmental and social management standards for overseas operations, K-water first analy</w:t>
      </w:r>
      <w:r w:rsidR="00AE610D" w:rsidRPr="00DD308F">
        <w:rPr>
          <w:rFonts w:ascii="Arial" w:hAnsi="Arial" w:cs="Arial"/>
        </w:rPr>
        <w:t>z</w:t>
      </w:r>
      <w:r w:rsidRPr="00DD308F">
        <w:rPr>
          <w:rFonts w:ascii="Arial" w:hAnsi="Arial" w:cs="Arial"/>
        </w:rPr>
        <w:t>ed the environmental and social policies and environmental, health and safety standards of financial institutions and investigated their application</w:t>
      </w:r>
      <w:r w:rsidR="00E0279E" w:rsidRPr="00DD308F">
        <w:rPr>
          <w:rFonts w:ascii="Arial" w:hAnsi="Arial" w:cs="Arial"/>
        </w:rPr>
        <w:t xml:space="preserve"> cases</w:t>
      </w:r>
      <w:r w:rsidRPr="00DD308F">
        <w:rPr>
          <w:rFonts w:ascii="Arial" w:hAnsi="Arial" w:cs="Arial"/>
        </w:rPr>
        <w:t xml:space="preserve">. The MDBs included the World Bank, IFC, ADB, EBRD, and IDB, and the Equator Principles applied by </w:t>
      </w:r>
      <w:r w:rsidR="00E0279E" w:rsidRPr="00DD308F">
        <w:rPr>
          <w:rFonts w:ascii="Arial" w:hAnsi="Arial" w:cs="Arial"/>
        </w:rPr>
        <w:t xml:space="preserve">commercial </w:t>
      </w:r>
      <w:r w:rsidRPr="00DD308F">
        <w:rPr>
          <w:rFonts w:ascii="Arial" w:hAnsi="Arial" w:cs="Arial"/>
        </w:rPr>
        <w:t xml:space="preserve">banks were targeted. In addition, K-water </w:t>
      </w:r>
      <w:r w:rsidR="00E0279E" w:rsidRPr="00DD308F">
        <w:rPr>
          <w:rFonts w:ascii="Arial" w:hAnsi="Arial" w:cs="Arial"/>
        </w:rPr>
        <w:t>established</w:t>
      </w:r>
      <w:r w:rsidRPr="00DD308F">
        <w:rPr>
          <w:rFonts w:ascii="Arial" w:hAnsi="Arial" w:cs="Arial"/>
        </w:rPr>
        <w:t xml:space="preserve"> </w:t>
      </w:r>
      <w:r w:rsidR="00E0279E" w:rsidRPr="00DD308F">
        <w:rPr>
          <w:rFonts w:ascii="Arial" w:hAnsi="Arial" w:cs="Arial"/>
        </w:rPr>
        <w:t>the overseas project process</w:t>
      </w:r>
      <w:r w:rsidRPr="00DD308F">
        <w:rPr>
          <w:rFonts w:ascii="Arial" w:hAnsi="Arial" w:cs="Arial"/>
        </w:rPr>
        <w:t xml:space="preserve"> for dam construction and operation, water supply development, solar power, and urban development projects that can be carried out overseas in accordance with K-water's establishment law. In order to systematically manage the environmental and social risks of overseas projects, the process of overseas projects was categori</w:t>
      </w:r>
      <w:r w:rsidR="00AE610D" w:rsidRPr="00DD308F">
        <w:rPr>
          <w:rFonts w:ascii="Arial" w:hAnsi="Arial" w:cs="Arial"/>
        </w:rPr>
        <w:t>z</w:t>
      </w:r>
      <w:r w:rsidRPr="00DD308F">
        <w:rPr>
          <w:rFonts w:ascii="Arial" w:hAnsi="Arial" w:cs="Arial"/>
        </w:rPr>
        <w:t xml:space="preserve">ed into project </w:t>
      </w:r>
      <w:r w:rsidR="00497C03" w:rsidRPr="00DD308F">
        <w:rPr>
          <w:rFonts w:ascii="Arial" w:hAnsi="Arial" w:cs="Arial"/>
        </w:rPr>
        <w:t>proposal</w:t>
      </w:r>
      <w:r w:rsidR="00E0279E" w:rsidRPr="00DD308F">
        <w:rPr>
          <w:rFonts w:ascii="Arial" w:hAnsi="Arial" w:cs="Arial"/>
        </w:rPr>
        <w:t>,</w:t>
      </w:r>
      <w:r w:rsidRPr="00DD308F">
        <w:rPr>
          <w:rFonts w:ascii="Arial" w:hAnsi="Arial" w:cs="Arial"/>
        </w:rPr>
        <w:t xml:space="preserve"> (pre-)feasibility study, impact assessment, construction, and operation, and implementation standards for environmental and social management were established for each stage.</w:t>
      </w:r>
    </w:p>
    <w:p w:rsidR="00E343FC" w:rsidRPr="00DD308F" w:rsidRDefault="00C03C5E">
      <w:pPr>
        <w:pStyle w:val="a4"/>
        <w:rPr>
          <w:rFonts w:ascii="Arial" w:hAnsi="Arial" w:cs="Arial"/>
        </w:rPr>
      </w:pPr>
      <w:r w:rsidRPr="00DD308F">
        <w:rPr>
          <w:rFonts w:ascii="Arial" w:hAnsi="Arial" w:cs="Arial"/>
        </w:rPr>
        <w:lastRenderedPageBreak/>
        <w:t xml:space="preserve">As K-water was in the process of establishing environmental and social management standards for its overseas </w:t>
      </w:r>
      <w:r w:rsidR="00EB2CBC" w:rsidRPr="00DD308F">
        <w:rPr>
          <w:rFonts w:ascii="Arial" w:hAnsi="Arial" w:cs="Arial"/>
        </w:rPr>
        <w:t>project</w:t>
      </w:r>
      <w:r w:rsidRPr="00DD308F">
        <w:rPr>
          <w:rFonts w:ascii="Arial" w:hAnsi="Arial" w:cs="Arial"/>
        </w:rPr>
        <w:t xml:space="preserve"> for the first time, a joint review with the International Finance Corporation (IFC) was conducted to assess the appropriateness of the standards to be established, and was reviewed by an internal task force and external experts</w:t>
      </w:r>
      <w:r w:rsidR="00DC2A62" w:rsidRPr="00DD308F">
        <w:rPr>
          <w:rFonts w:ascii="Arial" w:hAnsi="Arial" w:cs="Arial"/>
        </w:rPr>
        <w:t xml:space="preserve"> together</w:t>
      </w:r>
      <w:r w:rsidRPr="00DD308F">
        <w:rPr>
          <w:rFonts w:ascii="Arial" w:hAnsi="Arial" w:cs="Arial"/>
        </w:rPr>
        <w:t xml:space="preserve">. </w:t>
      </w:r>
    </w:p>
    <w:p w:rsidR="003F1B51" w:rsidRPr="00DD308F" w:rsidRDefault="003F1B51">
      <w:pPr>
        <w:pStyle w:val="a4"/>
        <w:rPr>
          <w:rFonts w:ascii="Arial" w:hAnsi="Arial" w:cs="Arial"/>
        </w:rPr>
      </w:pPr>
    </w:p>
    <w:p w:rsidR="00E343FC" w:rsidRPr="00DD308F" w:rsidRDefault="00C03C5E">
      <w:pPr>
        <w:rPr>
          <w:rFonts w:ascii="Arial" w:hAnsi="Arial" w:cs="Arial"/>
        </w:rPr>
      </w:pPr>
      <w:r w:rsidRPr="00DD308F">
        <w:rPr>
          <w:rFonts w:ascii="Arial" w:hAnsi="Arial" w:cs="Arial"/>
          <w:b/>
          <w:sz w:val="22"/>
        </w:rPr>
        <w:t>3. Results</w:t>
      </w: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b/>
        </w:rPr>
      </w:pPr>
      <w:r w:rsidRPr="00DD308F">
        <w:rPr>
          <w:rFonts w:ascii="Arial" w:hAnsi="Arial" w:cs="Arial"/>
          <w:b/>
        </w:rPr>
        <w:t>3.1 MDBs policies, WB EHS Guidelines and case studies</w:t>
      </w:r>
    </w:p>
    <w:p w:rsidR="00E343FC" w:rsidRPr="00DD308F" w:rsidRDefault="00C03C5E">
      <w:pPr>
        <w:pStyle w:val="a4"/>
        <w:rPr>
          <w:rFonts w:ascii="Arial" w:hAnsi="Arial" w:cs="Arial"/>
        </w:rPr>
      </w:pPr>
      <w:r w:rsidRPr="00DD308F">
        <w:rPr>
          <w:rFonts w:ascii="Arial" w:hAnsi="Arial" w:cs="Arial"/>
        </w:rPr>
        <w:t>We analy</w:t>
      </w:r>
      <w:r w:rsidR="00D703B7" w:rsidRPr="00DD308F">
        <w:rPr>
          <w:rFonts w:ascii="Arial" w:hAnsi="Arial" w:cs="Arial"/>
        </w:rPr>
        <w:t>z</w:t>
      </w:r>
      <w:r w:rsidRPr="00DD308F">
        <w:rPr>
          <w:rFonts w:ascii="Arial" w:hAnsi="Arial" w:cs="Arial"/>
        </w:rPr>
        <w:t xml:space="preserve">ed the environmental and social safeguard policies and gaps of MDBs such as the World Bank, ADB, and EBRD. As shown in </w:t>
      </w:r>
      <w:r w:rsidR="00EA106E" w:rsidRPr="00DD308F">
        <w:rPr>
          <w:rFonts w:ascii="Arial" w:hAnsi="Arial" w:cs="Arial"/>
        </w:rPr>
        <w:t xml:space="preserve">table </w:t>
      </w:r>
      <w:r w:rsidRPr="00DD308F">
        <w:rPr>
          <w:rFonts w:ascii="Arial" w:hAnsi="Arial" w:cs="Arial"/>
        </w:rPr>
        <w:t xml:space="preserve">1 below, the MDBs have adopted policies for environmental and social management across their financial institutions, and apply Good International Industrial Practice to technically manage environmental and social risks in projects. Table 2 shows the areas covered in the MDBs' environmental and social policies, and shows that most of them cover similar </w:t>
      </w:r>
      <w:r w:rsidR="00CC569C" w:rsidRPr="00DD308F">
        <w:rPr>
          <w:rFonts w:ascii="Arial" w:hAnsi="Arial" w:cs="Arial"/>
        </w:rPr>
        <w:t>categories</w:t>
      </w:r>
      <w:r w:rsidRPr="00DD308F">
        <w:rPr>
          <w:rFonts w:ascii="Arial" w:hAnsi="Arial" w:cs="Arial"/>
        </w:rPr>
        <w:t xml:space="preserve">, and this common application is aimed at complying with international treaties and global standards. In addition, </w:t>
      </w:r>
      <w:r w:rsidR="00CC569C" w:rsidRPr="00DD308F">
        <w:rPr>
          <w:rFonts w:ascii="Arial" w:hAnsi="Arial" w:cs="Arial"/>
        </w:rPr>
        <w:t>commercial</w:t>
      </w:r>
      <w:r w:rsidRPr="00DD308F">
        <w:rPr>
          <w:rFonts w:ascii="Arial" w:hAnsi="Arial" w:cs="Arial"/>
        </w:rPr>
        <w:t xml:space="preserve"> banks are applying the Equator Principles, and the Equator Principles are based on the </w:t>
      </w:r>
      <w:r w:rsidR="00CC569C" w:rsidRPr="00DD308F">
        <w:rPr>
          <w:rFonts w:ascii="Arial" w:hAnsi="Arial" w:cs="Arial"/>
        </w:rPr>
        <w:t>policy</w:t>
      </w:r>
      <w:r w:rsidRPr="00DD308F">
        <w:rPr>
          <w:rFonts w:ascii="Arial" w:hAnsi="Arial" w:cs="Arial"/>
        </w:rPr>
        <w:t xml:space="preserve"> of the International Finance Corporation (IFC), which shows that </w:t>
      </w:r>
      <w:r w:rsidR="00CC569C" w:rsidRPr="00DD308F">
        <w:rPr>
          <w:rFonts w:ascii="Arial" w:hAnsi="Arial" w:cs="Arial"/>
        </w:rPr>
        <w:t>commercial</w:t>
      </w:r>
      <w:r w:rsidRPr="00DD308F">
        <w:rPr>
          <w:rFonts w:ascii="Arial" w:hAnsi="Arial" w:cs="Arial"/>
        </w:rPr>
        <w:t xml:space="preserve"> banks are applying the same standards. </w:t>
      </w:r>
    </w:p>
    <w:p w:rsidR="00E343FC" w:rsidRDefault="00C03C5E">
      <w:pPr>
        <w:pStyle w:val="a4"/>
        <w:rPr>
          <w:rFonts w:ascii="Arial" w:hAnsi="Arial" w:cs="Arial"/>
        </w:rPr>
      </w:pPr>
      <w:r w:rsidRPr="00DD308F">
        <w:rPr>
          <w:rFonts w:ascii="Arial" w:hAnsi="Arial" w:cs="Arial"/>
        </w:rPr>
        <w:t xml:space="preserve">Environmental, health and safety standards are broadly governed by the World Bank's EHS Guidelines, with industry-specific guidelines provided. </w:t>
      </w:r>
      <w:r w:rsidR="00CC569C" w:rsidRPr="00DD308F">
        <w:rPr>
          <w:rFonts w:ascii="Arial" w:hAnsi="Arial" w:cs="Arial"/>
        </w:rPr>
        <w:t>We concluded that t</w:t>
      </w:r>
      <w:r w:rsidRPr="00DD308F">
        <w:rPr>
          <w:rFonts w:ascii="Arial" w:hAnsi="Arial" w:cs="Arial"/>
        </w:rPr>
        <w:t xml:space="preserve">his is the basic </w:t>
      </w:r>
      <w:r w:rsidR="00CC569C" w:rsidRPr="00DD308F">
        <w:rPr>
          <w:rFonts w:ascii="Arial" w:hAnsi="Arial" w:cs="Arial"/>
        </w:rPr>
        <w:t xml:space="preserve">and minimum </w:t>
      </w:r>
      <w:r w:rsidRPr="00DD308F">
        <w:rPr>
          <w:rFonts w:ascii="Arial" w:hAnsi="Arial" w:cs="Arial"/>
        </w:rPr>
        <w:t>principle of following Good International Industrial Practice</w:t>
      </w:r>
      <w:r w:rsidR="00CC569C" w:rsidRPr="00DD308F">
        <w:rPr>
          <w:rFonts w:ascii="Arial" w:hAnsi="Arial" w:cs="Arial"/>
        </w:rPr>
        <w:t xml:space="preserve"> across MDBs</w:t>
      </w:r>
      <w:r w:rsidRPr="00DD308F">
        <w:rPr>
          <w:rFonts w:ascii="Arial" w:hAnsi="Arial" w:cs="Arial"/>
        </w:rPr>
        <w:t>.</w:t>
      </w:r>
    </w:p>
    <w:p w:rsidR="0072522A" w:rsidRPr="00DD308F" w:rsidRDefault="0072522A">
      <w:pPr>
        <w:pStyle w:val="a4"/>
        <w:rPr>
          <w:rFonts w:ascii="Arial" w:hAnsi="Arial" w:cs="Arial" w:hint="eastAsia"/>
        </w:rPr>
      </w:pPr>
    </w:p>
    <w:p w:rsidR="00E343FC" w:rsidRPr="00DD308F" w:rsidRDefault="00C03C5E">
      <w:pPr>
        <w:ind w:left="200" w:hanging="200"/>
        <w:rPr>
          <w:rFonts w:ascii="Arial" w:hAnsi="Arial" w:cs="Arial"/>
        </w:rPr>
      </w:pPr>
      <w:r w:rsidRPr="00DD308F">
        <w:rPr>
          <w:rFonts w:ascii="Arial" w:hAnsi="Arial" w:cs="Arial"/>
        </w:rPr>
        <w:t>&lt;Table 1&gt; Status of MDBs' environmental and social policies and EHS standards</w:t>
      </w:r>
    </w:p>
    <w:tbl>
      <w:tblPr>
        <w:tblOverlap w:val="never"/>
        <w:tblW w:w="901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803"/>
        <w:gridCol w:w="1803"/>
        <w:gridCol w:w="1803"/>
        <w:gridCol w:w="1803"/>
        <w:gridCol w:w="1804"/>
      </w:tblGrid>
      <w:tr w:rsidR="00E343FC" w:rsidRPr="00DD308F">
        <w:trPr>
          <w:trHeight w:val="56"/>
        </w:trPr>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widowControl/>
              <w:wordWrap/>
              <w:autoSpaceDE/>
              <w:autoSpaceDN/>
              <w:spacing w:after="0" w:line="240" w:lineRule="auto"/>
              <w:jc w:val="center"/>
              <w:rPr>
                <w:rFonts w:ascii="Arial" w:hAnsi="Arial" w:cs="Arial"/>
              </w:rPr>
            </w:pPr>
            <w:r w:rsidRPr="00DD308F">
              <w:rPr>
                <w:rFonts w:ascii="Arial" w:hAnsi="Arial" w:cs="Arial"/>
                <w:b/>
                <w:sz w:val="16"/>
              </w:rPr>
              <w:t>Safeguards framework</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widowControl/>
              <w:wordWrap/>
              <w:autoSpaceDE/>
              <w:autoSpaceDN/>
              <w:spacing w:after="0" w:line="240" w:lineRule="auto"/>
              <w:jc w:val="center"/>
              <w:rPr>
                <w:rFonts w:ascii="Arial" w:hAnsi="Arial" w:cs="Arial"/>
              </w:rPr>
            </w:pPr>
            <w:r w:rsidRPr="00DD308F">
              <w:rPr>
                <w:rFonts w:ascii="Arial" w:hAnsi="Arial" w:cs="Arial"/>
                <w:b/>
                <w:sz w:val="16"/>
              </w:rPr>
              <w:t>IFC</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widowControl/>
              <w:wordWrap/>
              <w:autoSpaceDE/>
              <w:autoSpaceDN/>
              <w:spacing w:after="0" w:line="240" w:lineRule="auto"/>
              <w:jc w:val="center"/>
              <w:rPr>
                <w:rFonts w:ascii="Arial" w:hAnsi="Arial" w:cs="Arial"/>
              </w:rPr>
            </w:pPr>
            <w:r w:rsidRPr="00DD308F">
              <w:rPr>
                <w:rFonts w:ascii="Arial" w:hAnsi="Arial" w:cs="Arial"/>
                <w:b/>
                <w:sz w:val="16"/>
              </w:rPr>
              <w:t>EBRD</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widowControl/>
              <w:wordWrap/>
              <w:autoSpaceDE/>
              <w:autoSpaceDN/>
              <w:spacing w:after="0" w:line="240" w:lineRule="auto"/>
              <w:jc w:val="center"/>
              <w:rPr>
                <w:rFonts w:ascii="Arial" w:hAnsi="Arial" w:cs="Arial"/>
              </w:rPr>
            </w:pPr>
            <w:r w:rsidRPr="00DD308F">
              <w:rPr>
                <w:rFonts w:ascii="Arial" w:hAnsi="Arial" w:cs="Arial"/>
                <w:b/>
                <w:sz w:val="16"/>
              </w:rPr>
              <w:t>IDB</w:t>
            </w:r>
          </w:p>
        </w:tc>
        <w:tc>
          <w:tcPr>
            <w:tcW w:w="1804" w:type="dxa"/>
            <w:tcBorders>
              <w:top w:val="single" w:sz="3" w:space="0" w:color="0A0000"/>
              <w:left w:val="single" w:sz="3" w:space="0" w:color="0A0000"/>
              <w:bottom w:val="single" w:sz="3" w:space="0" w:color="0A0000"/>
              <w:right w:val="single" w:sz="3" w:space="0" w:color="0A0000"/>
            </w:tcBorders>
          </w:tcPr>
          <w:p w:rsidR="00E343FC" w:rsidRPr="00DD308F" w:rsidRDefault="00C03C5E">
            <w:pPr>
              <w:widowControl/>
              <w:wordWrap/>
              <w:autoSpaceDE/>
              <w:autoSpaceDN/>
              <w:spacing w:after="0" w:line="240" w:lineRule="auto"/>
              <w:jc w:val="center"/>
              <w:rPr>
                <w:rFonts w:ascii="Arial" w:hAnsi="Arial" w:cs="Arial"/>
              </w:rPr>
            </w:pPr>
            <w:r w:rsidRPr="00DD308F">
              <w:rPr>
                <w:rFonts w:ascii="Arial" w:hAnsi="Arial" w:cs="Arial"/>
                <w:b/>
                <w:sz w:val="16"/>
              </w:rPr>
              <w:t>ADB</w:t>
            </w:r>
          </w:p>
        </w:tc>
      </w:tr>
      <w:tr w:rsidR="00E343FC" w:rsidRPr="00DD308F">
        <w:trPr>
          <w:trHeight w:val="56"/>
        </w:trPr>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 xml:space="preserve">Bank Responsibilities: </w:t>
            </w:r>
            <w:r w:rsidRPr="00DD308F">
              <w:rPr>
                <w:rFonts w:ascii="Arial" w:hAnsi="Arial" w:cs="Arial"/>
                <w:sz w:val="16"/>
              </w:rPr>
              <w:t>Safeguarding frameworks of multilateral development banks define in policy documents the responsibilities with which the institution must comply - Regulations</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 xml:space="preserve">Environmental and Social Sustainability Policy </w:t>
            </w:r>
            <w:r w:rsidRPr="00DD308F">
              <w:rPr>
                <w:rFonts w:ascii="Arial" w:hAnsi="Arial" w:cs="Arial"/>
                <w:sz w:val="16"/>
              </w:rPr>
              <w:t xml:space="preserve">Defining IFC's environmental and social responsibilities, objectives, mandate, roles and responsibilities, and compliance inspection regime. </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Environmental and social policy (ESP)</w:t>
            </w:r>
          </w:p>
          <w:p w:rsidR="00E343FC" w:rsidRPr="00DD308F" w:rsidRDefault="00C03C5E">
            <w:pPr>
              <w:pStyle w:val="a4"/>
              <w:rPr>
                <w:rFonts w:ascii="Arial" w:hAnsi="Arial" w:cs="Arial"/>
              </w:rPr>
            </w:pPr>
            <w:r w:rsidRPr="00DD308F">
              <w:rPr>
                <w:rFonts w:ascii="Arial" w:hAnsi="Arial" w:cs="Arial"/>
                <w:sz w:val="16"/>
              </w:rPr>
              <w:t xml:space="preserve">Define EBRD's environmental and social responsibilities, objectives, mandate, roles and responsibilities, compliance inspection regime, and disclosure procedures </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Environmental and Social Policy Framework (ESPF)</w:t>
            </w:r>
          </w:p>
          <w:p w:rsidR="00E343FC" w:rsidRPr="00DD308F" w:rsidRDefault="00C03C5E">
            <w:pPr>
              <w:pStyle w:val="a4"/>
              <w:rPr>
                <w:rFonts w:ascii="Arial" w:hAnsi="Arial" w:cs="Arial"/>
              </w:rPr>
            </w:pPr>
            <w:r w:rsidRPr="00DD308F">
              <w:rPr>
                <w:rFonts w:ascii="Arial" w:hAnsi="Arial" w:cs="Arial"/>
                <w:sz w:val="16"/>
              </w:rPr>
              <w:t xml:space="preserve">Define IDB's environmental and social responsibilities, objectives, mandate, roles and responsibilities, compliance checks, and governance arrangements </w:t>
            </w:r>
          </w:p>
        </w:tc>
        <w:tc>
          <w:tcPr>
            <w:tcW w:w="1804"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Safeguarding Policy Statement (SPS)</w:t>
            </w:r>
          </w:p>
          <w:p w:rsidR="00E343FC" w:rsidRPr="00DD308F" w:rsidRDefault="00C03C5E">
            <w:pPr>
              <w:pStyle w:val="a4"/>
              <w:rPr>
                <w:rFonts w:ascii="Arial" w:hAnsi="Arial" w:cs="Arial"/>
              </w:rPr>
            </w:pPr>
            <w:r w:rsidRPr="00DD308F">
              <w:rPr>
                <w:rFonts w:ascii="Arial" w:hAnsi="Arial" w:cs="Arial"/>
                <w:sz w:val="16"/>
              </w:rPr>
              <w:t xml:space="preserve">ADB's Environmental and Involuntary Resettlement - Indigenous Peoples mandate, objectives, authorities, roles and responsibilities, compliance inspections, and governance arrangements procedures are defined </w:t>
            </w:r>
          </w:p>
        </w:tc>
      </w:tr>
      <w:tr w:rsidR="00E343FC" w:rsidRPr="00DD308F">
        <w:trPr>
          <w:trHeight w:val="56"/>
        </w:trPr>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 xml:space="preserve">Borrower responsibilities: The </w:t>
            </w:r>
            <w:r w:rsidRPr="00DD308F">
              <w:rPr>
                <w:rFonts w:ascii="Arial" w:hAnsi="Arial" w:cs="Arial"/>
                <w:sz w:val="16"/>
              </w:rPr>
              <w:t>safeguard frameworks of multilateral development banks set out the environmental and social standards that borrowers must comply with, which are largely based on the International Finance Corporation Performance Standards.</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International Finance Corporation Performance Standards</w:t>
            </w:r>
          </w:p>
          <w:p w:rsidR="00E343FC" w:rsidRPr="00DD308F" w:rsidRDefault="00C03C5E">
            <w:pPr>
              <w:pStyle w:val="a4"/>
              <w:rPr>
                <w:rFonts w:ascii="Arial" w:hAnsi="Arial" w:cs="Arial"/>
              </w:rPr>
            </w:pPr>
            <w:r w:rsidRPr="00DD308F">
              <w:rPr>
                <w:rFonts w:ascii="Arial" w:hAnsi="Arial" w:cs="Arial"/>
                <w:sz w:val="16"/>
              </w:rPr>
              <w:t>Eight environmental and social criteria for borrowers to adhere to. Also references other organi</w:t>
            </w:r>
            <w:r w:rsidR="007C3FAF" w:rsidRPr="00DD308F">
              <w:rPr>
                <w:rFonts w:ascii="Arial" w:hAnsi="Arial" w:cs="Arial"/>
                <w:sz w:val="16"/>
              </w:rPr>
              <w:t>z</w:t>
            </w:r>
            <w:r w:rsidRPr="00DD308F">
              <w:rPr>
                <w:rFonts w:ascii="Arial" w:hAnsi="Arial" w:cs="Arial"/>
                <w:sz w:val="16"/>
              </w:rPr>
              <w:t xml:space="preserve">ations as industrial good practice </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EBRD Performance Conditions (PR)</w:t>
            </w:r>
          </w:p>
          <w:p w:rsidR="00E343FC" w:rsidRPr="00DD308F" w:rsidRDefault="00C03C5E">
            <w:pPr>
              <w:pStyle w:val="a4"/>
              <w:rPr>
                <w:rFonts w:ascii="Arial" w:hAnsi="Arial" w:cs="Arial"/>
              </w:rPr>
            </w:pPr>
            <w:r w:rsidRPr="00DD308F">
              <w:rPr>
                <w:rFonts w:ascii="Arial" w:hAnsi="Arial" w:cs="Arial"/>
                <w:sz w:val="16"/>
              </w:rPr>
              <w:t>Setting out 10 environmental and social criteria-standards for borrowers to adhere to. Much like the International Finance Corporation Performance Standards</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Environmental and Social Performance Standards (ESPS)</w:t>
            </w:r>
          </w:p>
          <w:p w:rsidR="00E343FC" w:rsidRPr="00DD308F" w:rsidRDefault="00C03C5E">
            <w:pPr>
              <w:pStyle w:val="a4"/>
              <w:rPr>
                <w:rFonts w:ascii="Arial" w:hAnsi="Arial" w:cs="Arial"/>
              </w:rPr>
            </w:pPr>
            <w:r w:rsidRPr="00DD308F">
              <w:rPr>
                <w:rFonts w:ascii="Arial" w:hAnsi="Arial" w:cs="Arial"/>
                <w:sz w:val="16"/>
              </w:rPr>
              <w:t>Setting out 10 environmental and social criteria-standards for borrowers to adhere to. Much like the International Finance Corporation Performance Standards</w:t>
            </w:r>
          </w:p>
        </w:tc>
        <w:tc>
          <w:tcPr>
            <w:tcW w:w="1804"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sz w:val="16"/>
              </w:rPr>
              <w:t>Safeguard condition (SR)</w:t>
            </w:r>
          </w:p>
          <w:p w:rsidR="00E343FC" w:rsidRPr="00DD308F" w:rsidRDefault="00C03C5E">
            <w:pPr>
              <w:pStyle w:val="a4"/>
              <w:rPr>
                <w:rFonts w:ascii="Arial" w:hAnsi="Arial" w:cs="Arial"/>
              </w:rPr>
            </w:pPr>
            <w:r w:rsidRPr="00DD308F">
              <w:rPr>
                <w:rFonts w:ascii="Arial" w:hAnsi="Arial" w:cs="Arial"/>
                <w:sz w:val="16"/>
              </w:rPr>
              <w:t>Sets out three standards for borrowers to adhere to: environmental, resettlement and indigenous peoples. Much like the International Finance Corporation Performance Standards</w:t>
            </w:r>
          </w:p>
        </w:tc>
      </w:tr>
      <w:tr w:rsidR="00E343FC" w:rsidRPr="00DD308F">
        <w:trPr>
          <w:trHeight w:val="56"/>
        </w:trPr>
        <w:tc>
          <w:tcPr>
            <w:tcW w:w="9016" w:type="dxa"/>
            <w:gridSpan w:val="5"/>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jc w:val="left"/>
              <w:rPr>
                <w:rFonts w:ascii="Arial" w:hAnsi="Arial" w:cs="Arial"/>
              </w:rPr>
            </w:pPr>
            <w:r w:rsidRPr="00DD308F">
              <w:rPr>
                <w:rFonts w:ascii="Arial" w:hAnsi="Arial" w:cs="Arial"/>
                <w:b/>
                <w:sz w:val="16"/>
              </w:rPr>
              <w:t>Industrial Good Practice</w:t>
            </w:r>
          </w:p>
        </w:tc>
      </w:tr>
      <w:tr w:rsidR="00E343FC" w:rsidRPr="00DD308F">
        <w:trPr>
          <w:trHeight w:val="56"/>
        </w:trPr>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sz w:val="16"/>
              </w:rPr>
              <w:t xml:space="preserve">Industrial Good Practice refers to the numerical and quantitative standards that borrowers can refer to in fulfilling the requirements of each environmental and social standard, </w:t>
            </w:r>
            <w:r w:rsidRPr="00DD308F">
              <w:rPr>
                <w:rFonts w:ascii="Arial" w:hAnsi="Arial" w:cs="Arial"/>
                <w:sz w:val="16"/>
              </w:rPr>
              <w:lastRenderedPageBreak/>
              <w:t>mostly drawn from the International Finance Corporation Performance Standards and the World Bank EHS Guidelines.</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sz w:val="16"/>
              </w:rPr>
              <w:lastRenderedPageBreak/>
              <w:t>World Bank EHS Guidelines</w:t>
            </w:r>
          </w:p>
          <w:p w:rsidR="00E343FC" w:rsidRPr="00DD308F" w:rsidRDefault="00C03C5E">
            <w:pPr>
              <w:pStyle w:val="a4"/>
              <w:rPr>
                <w:rFonts w:ascii="Arial" w:hAnsi="Arial" w:cs="Arial"/>
              </w:rPr>
            </w:pPr>
            <w:r w:rsidRPr="00DD308F">
              <w:rPr>
                <w:rFonts w:ascii="Arial" w:hAnsi="Arial" w:cs="Arial"/>
                <w:sz w:val="16"/>
              </w:rPr>
              <w:t>Provide general and industry-specific guides</w:t>
            </w:r>
          </w:p>
          <w:p w:rsidR="003F1B51" w:rsidRPr="00DD308F" w:rsidRDefault="00C03C5E">
            <w:pPr>
              <w:pStyle w:val="a4"/>
              <w:rPr>
                <w:rFonts w:ascii="Arial" w:hAnsi="Arial" w:cs="Arial"/>
                <w:sz w:val="16"/>
              </w:rPr>
            </w:pPr>
            <w:r w:rsidRPr="00DD308F">
              <w:rPr>
                <w:rFonts w:ascii="Arial" w:hAnsi="Arial" w:cs="Arial"/>
                <w:sz w:val="16"/>
              </w:rPr>
              <w:t xml:space="preserve">Agriculture &amp; Food </w:t>
            </w:r>
            <w:proofErr w:type="gramStart"/>
            <w:r w:rsidRPr="00DD308F">
              <w:rPr>
                <w:rFonts w:ascii="Arial" w:hAnsi="Arial" w:cs="Arial"/>
                <w:sz w:val="16"/>
              </w:rPr>
              <w:t>Production(</w:t>
            </w:r>
            <w:proofErr w:type="gramEnd"/>
            <w:r w:rsidRPr="00DD308F">
              <w:rPr>
                <w:rFonts w:ascii="Arial" w:hAnsi="Arial" w:cs="Arial"/>
                <w:sz w:val="16"/>
              </w:rPr>
              <w:t>13),</w:t>
            </w:r>
          </w:p>
          <w:p w:rsidR="003F1B51" w:rsidRPr="00DD308F" w:rsidRDefault="00C03C5E">
            <w:pPr>
              <w:pStyle w:val="a4"/>
              <w:rPr>
                <w:rFonts w:ascii="Arial" w:hAnsi="Arial" w:cs="Arial"/>
                <w:sz w:val="16"/>
              </w:rPr>
            </w:pPr>
            <w:r w:rsidRPr="00DD308F">
              <w:rPr>
                <w:rFonts w:ascii="Arial" w:hAnsi="Arial" w:cs="Arial"/>
                <w:sz w:val="16"/>
              </w:rPr>
              <w:t>Chemicals (11),</w:t>
            </w:r>
          </w:p>
          <w:p w:rsidR="003F1B51" w:rsidRPr="00DD308F" w:rsidRDefault="00C03C5E">
            <w:pPr>
              <w:pStyle w:val="a4"/>
              <w:rPr>
                <w:rFonts w:ascii="Arial" w:hAnsi="Arial" w:cs="Arial"/>
                <w:sz w:val="16"/>
              </w:rPr>
            </w:pPr>
            <w:r w:rsidRPr="00DD308F">
              <w:rPr>
                <w:rFonts w:ascii="Arial" w:hAnsi="Arial" w:cs="Arial"/>
                <w:sz w:val="16"/>
              </w:rPr>
              <w:t>Forestry (4),</w:t>
            </w:r>
          </w:p>
          <w:p w:rsidR="003F1B51" w:rsidRPr="00DD308F" w:rsidRDefault="00C03C5E">
            <w:pPr>
              <w:pStyle w:val="a4"/>
              <w:rPr>
                <w:rFonts w:ascii="Arial" w:hAnsi="Arial" w:cs="Arial"/>
                <w:sz w:val="16"/>
              </w:rPr>
            </w:pPr>
            <w:r w:rsidRPr="00DD308F">
              <w:rPr>
                <w:rFonts w:ascii="Arial" w:hAnsi="Arial" w:cs="Arial"/>
                <w:sz w:val="16"/>
              </w:rPr>
              <w:lastRenderedPageBreak/>
              <w:t>General Manufacturing (12),</w:t>
            </w:r>
          </w:p>
          <w:p w:rsidR="003F1B51" w:rsidRPr="00DD308F" w:rsidRDefault="00C03C5E">
            <w:pPr>
              <w:pStyle w:val="a4"/>
              <w:rPr>
                <w:rFonts w:ascii="Arial" w:hAnsi="Arial" w:cs="Arial"/>
                <w:sz w:val="16"/>
              </w:rPr>
            </w:pPr>
            <w:r w:rsidRPr="00DD308F">
              <w:rPr>
                <w:rFonts w:ascii="Arial" w:hAnsi="Arial" w:cs="Arial"/>
                <w:sz w:val="16"/>
              </w:rPr>
              <w:t>Infrastructure (14),</w:t>
            </w:r>
          </w:p>
          <w:p w:rsidR="003F1B51" w:rsidRPr="00DD308F" w:rsidRDefault="00C03C5E">
            <w:pPr>
              <w:pStyle w:val="a4"/>
              <w:rPr>
                <w:rFonts w:ascii="Arial" w:hAnsi="Arial" w:cs="Arial"/>
                <w:sz w:val="16"/>
              </w:rPr>
            </w:pPr>
            <w:r w:rsidRPr="00DD308F">
              <w:rPr>
                <w:rFonts w:ascii="Arial" w:hAnsi="Arial" w:cs="Arial"/>
                <w:sz w:val="16"/>
              </w:rPr>
              <w:t>Mining (1),</w:t>
            </w:r>
          </w:p>
          <w:p w:rsidR="003F1B51" w:rsidRPr="00DD308F" w:rsidRDefault="00C03C5E">
            <w:pPr>
              <w:pStyle w:val="a4"/>
              <w:rPr>
                <w:rFonts w:ascii="Arial" w:hAnsi="Arial" w:cs="Arial"/>
                <w:sz w:val="16"/>
              </w:rPr>
            </w:pPr>
            <w:r w:rsidRPr="00DD308F">
              <w:rPr>
                <w:rFonts w:ascii="Arial" w:hAnsi="Arial" w:cs="Arial"/>
                <w:sz w:val="16"/>
              </w:rPr>
              <w:t>Oil &amp; Gas (3),</w:t>
            </w:r>
          </w:p>
          <w:p w:rsidR="00E343FC" w:rsidRPr="00DD308F" w:rsidRDefault="00C03C5E">
            <w:pPr>
              <w:pStyle w:val="a4"/>
              <w:rPr>
                <w:rFonts w:ascii="Arial" w:hAnsi="Arial" w:cs="Arial"/>
              </w:rPr>
            </w:pPr>
            <w:r w:rsidRPr="00DD308F">
              <w:rPr>
                <w:rFonts w:ascii="Arial" w:hAnsi="Arial" w:cs="Arial"/>
                <w:sz w:val="16"/>
              </w:rPr>
              <w:t>Power Plants (4)</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sz w:val="16"/>
              </w:rPr>
              <w:lastRenderedPageBreak/>
              <w:t xml:space="preserve">Borrowing from International Finance Corporation Performance Standards, World Bank EHS Guidelines and European Union Directives and related standards as </w:t>
            </w:r>
            <w:r w:rsidRPr="00DD308F">
              <w:rPr>
                <w:rFonts w:ascii="Arial" w:hAnsi="Arial" w:cs="Arial"/>
                <w:sz w:val="16"/>
              </w:rPr>
              <w:lastRenderedPageBreak/>
              <w:t>industrial good practice</w:t>
            </w:r>
          </w:p>
        </w:tc>
        <w:tc>
          <w:tcPr>
            <w:tcW w:w="1803"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sz w:val="16"/>
              </w:rPr>
              <w:lastRenderedPageBreak/>
              <w:t xml:space="preserve">Borrowing from the International Finance Corporation Performance Standards, World Bank EHS Guidelines and the Bank's own standards and research as industrial </w:t>
            </w:r>
            <w:r w:rsidRPr="00DD308F">
              <w:rPr>
                <w:rFonts w:ascii="Arial" w:hAnsi="Arial" w:cs="Arial"/>
                <w:sz w:val="16"/>
              </w:rPr>
              <w:lastRenderedPageBreak/>
              <w:t>good practice</w:t>
            </w:r>
          </w:p>
        </w:tc>
        <w:tc>
          <w:tcPr>
            <w:tcW w:w="1804"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sz w:val="16"/>
              </w:rPr>
              <w:lastRenderedPageBreak/>
              <w:t xml:space="preserve">Borrowing from the International Finance Corporation Performance Standards, World Bank EHS Guidelines and the Bank's own standards and research as industrial </w:t>
            </w:r>
            <w:r w:rsidRPr="00DD308F">
              <w:rPr>
                <w:rFonts w:ascii="Arial" w:hAnsi="Arial" w:cs="Arial"/>
                <w:sz w:val="16"/>
              </w:rPr>
              <w:lastRenderedPageBreak/>
              <w:t>good practice</w:t>
            </w:r>
          </w:p>
        </w:tc>
      </w:tr>
    </w:tbl>
    <w:p w:rsidR="00E343FC" w:rsidRPr="00DD308F" w:rsidRDefault="00E343FC">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CF6920" w:rsidRPr="00DD308F" w:rsidRDefault="00CF6920">
      <w:pPr>
        <w:pBdr>
          <w:top w:val="none" w:sz="2" w:space="0" w:color="000000"/>
          <w:left w:val="none" w:sz="2" w:space="0" w:color="000000"/>
          <w:bottom w:val="none" w:sz="2" w:space="0" w:color="000000"/>
          <w:right w:val="none" w:sz="2" w:space="0" w:color="000000"/>
        </w:pBdr>
        <w:rPr>
          <w:rFonts w:ascii="Arial" w:hAnsi="Arial" w:cs="Arial"/>
        </w:rPr>
      </w:pPr>
    </w:p>
    <w:p w:rsidR="00E343FC" w:rsidRPr="00DD308F" w:rsidRDefault="00C03C5E">
      <w:pPr>
        <w:pStyle w:val="a4"/>
        <w:rPr>
          <w:rFonts w:ascii="Arial" w:hAnsi="Arial" w:cs="Arial"/>
        </w:rPr>
      </w:pPr>
      <w:r w:rsidRPr="00DD308F">
        <w:rPr>
          <w:rFonts w:ascii="Arial" w:hAnsi="Arial" w:cs="Arial"/>
        </w:rPr>
        <w:t>&lt;Table 2&gt; Status of MDBs in the area of environmental and social policy</w:t>
      </w:r>
    </w:p>
    <w:p w:rsidR="00E343FC" w:rsidRPr="00DD308F" w:rsidRDefault="00C03C5E">
      <w:pPr>
        <w:pStyle w:val="a4"/>
        <w:rPr>
          <w:rFonts w:ascii="Arial" w:hAnsi="Arial" w:cs="Arial"/>
        </w:rPr>
      </w:pPr>
      <w:r w:rsidRPr="00DD308F">
        <w:rPr>
          <w:rFonts w:ascii="Arial" w:hAnsi="Arial" w:cs="Arial"/>
          <w:noProof/>
        </w:rPr>
        <w:drawing>
          <wp:inline distT="0" distB="0" distL="0" distR="0">
            <wp:extent cx="5364734" cy="5371338"/>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kwater\AppData\Local\Temp\Hnc\BinData\EMB0000a88c0bd2.emf"/>
                    <pic:cNvPicPr/>
                  </pic:nvPicPr>
                  <pic:blipFill>
                    <a:blip r:embed="rId4"/>
                    <a:srcRect t="2851"/>
                    <a:stretch>
                      <a:fillRect/>
                    </a:stretch>
                  </pic:blipFill>
                  <pic:spPr>
                    <a:xfrm>
                      <a:off x="0" y="0"/>
                      <a:ext cx="5364734" cy="5371338"/>
                    </a:xfrm>
                    <a:prstGeom prst="rect">
                      <a:avLst/>
                    </a:prstGeom>
                    <a:effectLst/>
                  </pic:spPr>
                </pic:pic>
              </a:graphicData>
            </a:graphic>
          </wp:inline>
        </w:drawing>
      </w:r>
    </w:p>
    <w:p w:rsidR="002E2F71" w:rsidRDefault="002E2F71">
      <w:pPr>
        <w:pBdr>
          <w:top w:val="none" w:sz="2" w:space="0" w:color="000000"/>
          <w:left w:val="none" w:sz="2" w:space="0" w:color="000000"/>
          <w:bottom w:val="none" w:sz="2" w:space="0" w:color="000000"/>
          <w:right w:val="none" w:sz="2" w:space="0" w:color="000000"/>
        </w:pBdr>
        <w:rPr>
          <w:rFonts w:ascii="Arial" w:hAnsi="Arial" w:cs="Arial"/>
        </w:rPr>
      </w:pPr>
    </w:p>
    <w:p w:rsidR="00402E61" w:rsidRPr="00DD308F" w:rsidRDefault="00402E61">
      <w:pPr>
        <w:pBdr>
          <w:top w:val="none" w:sz="2" w:space="0" w:color="000000"/>
          <w:left w:val="none" w:sz="2" w:space="0" w:color="000000"/>
          <w:bottom w:val="none" w:sz="2" w:space="0" w:color="000000"/>
          <w:right w:val="none" w:sz="2" w:space="0" w:color="000000"/>
        </w:pBdr>
        <w:rPr>
          <w:rFonts w:ascii="Arial" w:hAnsi="Arial" w:cs="Arial" w:hint="eastAsia"/>
        </w:rPr>
      </w:pPr>
      <w:bookmarkStart w:id="1" w:name="_GoBack"/>
      <w:bookmarkEnd w:id="1"/>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b/>
        </w:rPr>
      </w:pPr>
      <w:r w:rsidRPr="00DD308F">
        <w:rPr>
          <w:rFonts w:ascii="Arial" w:hAnsi="Arial" w:cs="Arial"/>
          <w:b/>
        </w:rPr>
        <w:lastRenderedPageBreak/>
        <w:t>3.2 Adoption of Basic Policy for Establishing Environmental and Social Standards for K-water's Overseas Operations</w:t>
      </w:r>
    </w:p>
    <w:p w:rsidR="00E343FC" w:rsidRPr="00DD308F" w:rsidRDefault="00C03C5E">
      <w:pPr>
        <w:pStyle w:val="a4"/>
        <w:rPr>
          <w:rFonts w:ascii="Arial" w:hAnsi="Arial" w:cs="Arial"/>
        </w:rPr>
      </w:pPr>
      <w:r w:rsidRPr="00DD308F">
        <w:rPr>
          <w:rFonts w:ascii="Arial" w:hAnsi="Arial" w:cs="Arial"/>
        </w:rPr>
        <w:t xml:space="preserve">In order to establish K-water's own environmental and social standards for overseas </w:t>
      </w:r>
      <w:r w:rsidR="00EB2CBC" w:rsidRPr="00DD308F">
        <w:rPr>
          <w:rFonts w:ascii="Arial" w:hAnsi="Arial" w:cs="Arial"/>
        </w:rPr>
        <w:t>project</w:t>
      </w:r>
      <w:r w:rsidRPr="00DD308F">
        <w:rPr>
          <w:rFonts w:ascii="Arial" w:hAnsi="Arial" w:cs="Arial"/>
        </w:rPr>
        <w:t xml:space="preserve">, we used the International Finance Corporation's (IFC) environmental and social policy as a basis to follow the MDBs' policies and EHS guidelines, </w:t>
      </w:r>
      <w:r w:rsidR="0096402E" w:rsidRPr="00DD308F">
        <w:rPr>
          <w:rFonts w:ascii="Arial" w:hAnsi="Arial" w:cs="Arial"/>
        </w:rPr>
        <w:t>since</w:t>
      </w:r>
      <w:r w:rsidRPr="00DD308F">
        <w:rPr>
          <w:rFonts w:ascii="Arial" w:hAnsi="Arial" w:cs="Arial"/>
        </w:rPr>
        <w:t xml:space="preserve"> </w:t>
      </w:r>
      <w:r w:rsidR="0096402E" w:rsidRPr="00DD308F">
        <w:rPr>
          <w:rFonts w:ascii="Arial" w:hAnsi="Arial" w:cs="Arial"/>
        </w:rPr>
        <w:t>IFC</w:t>
      </w:r>
      <w:r w:rsidRPr="00DD308F">
        <w:rPr>
          <w:rFonts w:ascii="Arial" w:hAnsi="Arial" w:cs="Arial"/>
        </w:rPr>
        <w:t xml:space="preserve"> provides relatively detailed technical information and has many resources to utili</w:t>
      </w:r>
      <w:r w:rsidR="00D703B7" w:rsidRPr="00DD308F">
        <w:rPr>
          <w:rFonts w:ascii="Arial" w:hAnsi="Arial" w:cs="Arial"/>
        </w:rPr>
        <w:t>z</w:t>
      </w:r>
      <w:r w:rsidRPr="00DD308F">
        <w:rPr>
          <w:rFonts w:ascii="Arial" w:hAnsi="Arial" w:cs="Arial"/>
        </w:rPr>
        <w:t>e. The linkage structure and application of IFC Performance Standards, Guidance Note (GN), and Implementation Resources of the IFC's Environmental and Social Policy is analy</w:t>
      </w:r>
      <w:r w:rsidR="00D703B7" w:rsidRPr="00DD308F">
        <w:rPr>
          <w:rFonts w:ascii="Arial" w:hAnsi="Arial" w:cs="Arial"/>
        </w:rPr>
        <w:t>z</w:t>
      </w:r>
      <w:r w:rsidRPr="00DD308F">
        <w:rPr>
          <w:rFonts w:ascii="Arial" w:hAnsi="Arial" w:cs="Arial"/>
        </w:rPr>
        <w:t xml:space="preserve">ed as shown in Table 3, and cases of K-water's major overseas </w:t>
      </w:r>
      <w:r w:rsidR="00EB2CBC" w:rsidRPr="00DD308F">
        <w:rPr>
          <w:rFonts w:ascii="Arial" w:hAnsi="Arial" w:cs="Arial"/>
        </w:rPr>
        <w:t>project</w:t>
      </w:r>
      <w:r w:rsidRPr="00DD308F">
        <w:rPr>
          <w:rFonts w:ascii="Arial" w:hAnsi="Arial" w:cs="Arial"/>
        </w:rPr>
        <w:t xml:space="preserve"> areas of dam construction, water supply, solar power, and urban development projects were examined. The individual projects were either successful due to faithful implementation of the environmental and social sectors or cancelled due to failure to meet the standards, as shown in Table 4. In addition, by referring to the frequency of application of each performance standard, we classified the areas that K-water should consider at each stage of overseas projects and derived focused review points and approaches for risk management.</w:t>
      </w:r>
    </w:p>
    <w:p w:rsidR="00E343FC" w:rsidRPr="00DD308F" w:rsidRDefault="00E343FC">
      <w:pPr>
        <w:pStyle w:val="a4"/>
        <w:rPr>
          <w:rFonts w:ascii="Arial" w:hAnsi="Arial" w:cs="Arial"/>
        </w:rPr>
      </w:pPr>
    </w:p>
    <w:p w:rsidR="00E343FC" w:rsidRPr="00DD308F" w:rsidRDefault="00C03C5E">
      <w:pPr>
        <w:pStyle w:val="a4"/>
        <w:rPr>
          <w:rFonts w:ascii="Arial" w:hAnsi="Arial" w:cs="Arial"/>
        </w:rPr>
      </w:pPr>
      <w:r w:rsidRPr="00DD308F">
        <w:rPr>
          <w:rFonts w:ascii="Arial" w:hAnsi="Arial" w:cs="Arial"/>
        </w:rPr>
        <w:t>&lt;Table 3&gt; International Finance Corporation (IFC) Environmental and Social Policy Linkages</w:t>
      </w:r>
    </w:p>
    <w:tbl>
      <w:tblPr>
        <w:tblOverlap w:val="never"/>
        <w:tblW w:w="901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2830"/>
        <w:gridCol w:w="6186"/>
      </w:tblGrid>
      <w:tr w:rsidR="00E343FC" w:rsidRPr="00DD308F">
        <w:trPr>
          <w:trHeight w:val="56"/>
        </w:trPr>
        <w:tc>
          <w:tcPr>
            <w:tcW w:w="9016" w:type="dxa"/>
            <w:gridSpan w:val="2"/>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rPr>
              <w:t>International Finance Corporation Performance Standards</w:t>
            </w:r>
          </w:p>
          <w:p w:rsidR="00E343FC" w:rsidRPr="00DD308F" w:rsidRDefault="00C03C5E">
            <w:pPr>
              <w:pStyle w:val="a4"/>
              <w:rPr>
                <w:rFonts w:ascii="Arial" w:hAnsi="Arial" w:cs="Arial"/>
              </w:rPr>
            </w:pPr>
            <w:r w:rsidRPr="00DD308F">
              <w:rPr>
                <w:rFonts w:ascii="Arial" w:hAnsi="Arial" w:cs="Arial"/>
              </w:rPr>
              <w:t xml:space="preserve">Sets out eight environmental and social standards to which borrowers must adhere. </w:t>
            </w:r>
          </w:p>
          <w:p w:rsidR="00E343FC" w:rsidRPr="00DD308F" w:rsidRDefault="00C03C5E">
            <w:pPr>
              <w:pStyle w:val="a4"/>
              <w:rPr>
                <w:rFonts w:ascii="Arial" w:hAnsi="Arial" w:cs="Arial"/>
              </w:rPr>
            </w:pPr>
            <w:r w:rsidRPr="00DD308F">
              <w:rPr>
                <w:rFonts w:ascii="Arial" w:hAnsi="Arial" w:cs="Arial"/>
              </w:rPr>
              <w:t>Implementation Standard 1 sets out the requirements for the management framework and encompasses Implementation Standards 2 through 8.</w:t>
            </w:r>
          </w:p>
        </w:tc>
      </w:tr>
      <w:tr w:rsidR="00E343FC" w:rsidRPr="00DD308F">
        <w:trPr>
          <w:trHeight w:val="56"/>
        </w:trPr>
        <w:tc>
          <w:tcPr>
            <w:tcW w:w="2830"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rPr>
              <w:t>Guidance Note (GN) and Implementation Resource (IR)</w:t>
            </w:r>
          </w:p>
          <w:p w:rsidR="00E343FC" w:rsidRPr="00DD308F" w:rsidRDefault="00C03C5E">
            <w:pPr>
              <w:pStyle w:val="a4"/>
              <w:rPr>
                <w:rFonts w:ascii="Arial" w:hAnsi="Arial" w:cs="Arial"/>
              </w:rPr>
            </w:pPr>
            <w:r w:rsidRPr="00DD308F">
              <w:rPr>
                <w:rFonts w:ascii="Arial" w:hAnsi="Arial" w:cs="Arial"/>
              </w:rPr>
              <w:t>Guidance Notes and IRs provide specific requirements and additional material as appendices to the Performance Standards</w:t>
            </w:r>
          </w:p>
        </w:tc>
        <w:tc>
          <w:tcPr>
            <w:tcW w:w="6186"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rPr>
              <w:t>Guidance Note</w:t>
            </w:r>
            <w:r w:rsidRPr="00DD308F">
              <w:rPr>
                <w:rFonts w:ascii="Arial" w:hAnsi="Arial" w:cs="Arial"/>
              </w:rPr>
              <w:t>: Guidance Notes (GNs) provide detailed requirements and commentary for each Performance Standard to serve as a guide to meeting each Performance Standard and as an application guide. A total of eight GNs are available for each Performance Standard, updated at the same time as the Performance Standard (2006 and 2012)</w:t>
            </w:r>
          </w:p>
          <w:p w:rsidR="00E343FC" w:rsidRPr="00DD308F" w:rsidRDefault="00C03C5E">
            <w:pPr>
              <w:pStyle w:val="a4"/>
              <w:rPr>
                <w:rFonts w:ascii="Arial" w:hAnsi="Arial" w:cs="Arial"/>
              </w:rPr>
            </w:pPr>
            <w:r w:rsidRPr="00DD308F">
              <w:rPr>
                <w:rFonts w:ascii="Arial" w:hAnsi="Arial" w:cs="Arial"/>
                <w:b/>
              </w:rPr>
              <w:t>Implementation Resource</w:t>
            </w:r>
            <w:r w:rsidRPr="00DD308F">
              <w:rPr>
                <w:rFonts w:ascii="Arial" w:hAnsi="Arial" w:cs="Arial"/>
              </w:rPr>
              <w:t>: Implementation Resources are resources that are available in various forms, including research, case analyses, and guides related to the Standards. Provides more academic or specific content</w:t>
            </w:r>
          </w:p>
        </w:tc>
      </w:tr>
      <w:tr w:rsidR="00E343FC" w:rsidRPr="00DD308F">
        <w:trPr>
          <w:trHeight w:val="56"/>
        </w:trPr>
        <w:tc>
          <w:tcPr>
            <w:tcW w:w="2830"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rPr>
              <w:t>World Bank EHS Guidelines</w:t>
            </w:r>
          </w:p>
          <w:p w:rsidR="00E343FC" w:rsidRPr="00DD308F" w:rsidRDefault="00C03C5E">
            <w:pPr>
              <w:pStyle w:val="a4"/>
              <w:rPr>
                <w:rFonts w:ascii="Arial" w:hAnsi="Arial" w:cs="Arial"/>
              </w:rPr>
            </w:pPr>
            <w:r w:rsidRPr="00DD308F">
              <w:rPr>
                <w:rFonts w:ascii="Arial" w:hAnsi="Arial" w:cs="Arial"/>
              </w:rPr>
              <w:t>Environmental and social standards for borrowers to refer to, comprising general guidelines and a total of 62 industry guidelines under eight major industry groups</w:t>
            </w:r>
          </w:p>
        </w:tc>
        <w:tc>
          <w:tcPr>
            <w:tcW w:w="6186" w:type="dxa"/>
            <w:tcBorders>
              <w:top w:val="single" w:sz="3" w:space="0" w:color="0A0000"/>
              <w:left w:val="single" w:sz="3" w:space="0" w:color="0A0000"/>
              <w:bottom w:val="single" w:sz="3" w:space="0" w:color="0A0000"/>
              <w:right w:val="single" w:sz="3" w:space="0" w:color="0A0000"/>
            </w:tcBorders>
          </w:tcPr>
          <w:p w:rsidR="00E343FC" w:rsidRPr="00DD308F" w:rsidRDefault="00C03C5E">
            <w:pPr>
              <w:pStyle w:val="a4"/>
              <w:rPr>
                <w:rFonts w:ascii="Arial" w:hAnsi="Arial" w:cs="Arial"/>
              </w:rPr>
            </w:pPr>
            <w:r w:rsidRPr="00DD308F">
              <w:rPr>
                <w:rFonts w:ascii="Arial" w:hAnsi="Arial" w:cs="Arial"/>
                <w:b/>
              </w:rPr>
              <w:t xml:space="preserve">World Bank EHS </w:t>
            </w:r>
            <w:proofErr w:type="gramStart"/>
            <w:r w:rsidRPr="00DD308F">
              <w:rPr>
                <w:rFonts w:ascii="Arial" w:hAnsi="Arial" w:cs="Arial"/>
                <w:b/>
              </w:rPr>
              <w:t xml:space="preserve">Guidelines </w:t>
            </w:r>
            <w:r w:rsidRPr="00DD308F">
              <w:rPr>
                <w:rFonts w:ascii="Arial" w:hAnsi="Arial" w:cs="Arial"/>
              </w:rPr>
              <w:t>:</w:t>
            </w:r>
            <w:proofErr w:type="gramEnd"/>
            <w:r w:rsidRPr="00DD308F">
              <w:rPr>
                <w:rFonts w:ascii="Arial" w:hAnsi="Arial" w:cs="Arial"/>
              </w:rPr>
              <w:t xml:space="preserve"> The World Bank's EHS Guidelines provide technical methodologies for each sector (measurement methods, analysis methods, and specific evaluation methods and criteria for environmental data and reduction measures). It is divided into general guidelines and industry-specific guidelines.</w:t>
            </w:r>
          </w:p>
          <w:p w:rsidR="00E343FC" w:rsidRPr="00DD308F" w:rsidRDefault="00C03C5E">
            <w:pPr>
              <w:pStyle w:val="a4"/>
              <w:rPr>
                <w:rFonts w:ascii="Arial" w:hAnsi="Arial" w:cs="Arial"/>
              </w:rPr>
            </w:pPr>
            <w:r w:rsidRPr="00DD308F">
              <w:rPr>
                <w:rFonts w:ascii="Arial" w:hAnsi="Arial" w:cs="Arial"/>
                <w:b/>
              </w:rPr>
              <w:t>General guidelines</w:t>
            </w:r>
            <w:r w:rsidRPr="00DD308F">
              <w:rPr>
                <w:rFonts w:ascii="Arial" w:hAnsi="Arial" w:cs="Arial"/>
              </w:rPr>
              <w:t>: divided into four sections: environment, occupational health and safety, community health and safety, and construction and decommissioning</w:t>
            </w:r>
          </w:p>
          <w:p w:rsidR="00E343FC" w:rsidRPr="00DD308F" w:rsidRDefault="00C03C5E">
            <w:pPr>
              <w:pStyle w:val="a4"/>
              <w:rPr>
                <w:rFonts w:ascii="Arial" w:hAnsi="Arial" w:cs="Arial"/>
              </w:rPr>
            </w:pPr>
            <w:r w:rsidRPr="00DD308F">
              <w:rPr>
                <w:rFonts w:ascii="Arial" w:hAnsi="Arial" w:cs="Arial"/>
                <w:b/>
              </w:rPr>
              <w:t>Industry guidelines</w:t>
            </w:r>
            <w:r w:rsidRPr="00DD308F">
              <w:rPr>
                <w:rFonts w:ascii="Arial" w:hAnsi="Arial" w:cs="Arial"/>
              </w:rPr>
              <w:t>: divided into eight major industries: agriculture, forestry, chemicals, manufacturing, mining, oil &amp; gas, power generation, and infrastructure, and provided as guidelines for sub-industries within each industry. Specific methodologies are presented for each industry, reflecting its characteristics</w:t>
            </w:r>
          </w:p>
        </w:tc>
      </w:tr>
    </w:tbl>
    <w:p w:rsidR="00E343FC" w:rsidRPr="00DD308F" w:rsidRDefault="00E343FC">
      <w:pPr>
        <w:ind w:firstLine="600"/>
        <w:jc w:val="left"/>
        <w:rPr>
          <w:rFonts w:ascii="Arial" w:hAnsi="Arial" w:cs="Arial"/>
        </w:rPr>
      </w:pPr>
    </w:p>
    <w:p w:rsidR="00CF6920" w:rsidRPr="00DD308F" w:rsidRDefault="00CF6920">
      <w:pPr>
        <w:jc w:val="left"/>
        <w:rPr>
          <w:rFonts w:ascii="Arial" w:hAnsi="Arial" w:cs="Arial"/>
        </w:rPr>
      </w:pPr>
    </w:p>
    <w:p w:rsidR="00CF6920" w:rsidRPr="00DD308F" w:rsidRDefault="00CF6920">
      <w:pPr>
        <w:jc w:val="left"/>
        <w:rPr>
          <w:rFonts w:ascii="Arial" w:hAnsi="Arial" w:cs="Arial"/>
        </w:rPr>
      </w:pPr>
    </w:p>
    <w:p w:rsidR="00CF6920" w:rsidRDefault="00CF6920">
      <w:pPr>
        <w:jc w:val="left"/>
        <w:rPr>
          <w:rFonts w:ascii="Arial" w:hAnsi="Arial" w:cs="Arial"/>
        </w:rPr>
      </w:pPr>
    </w:p>
    <w:p w:rsidR="00402E61" w:rsidRDefault="00402E61">
      <w:pPr>
        <w:jc w:val="left"/>
        <w:rPr>
          <w:rFonts w:ascii="Arial" w:hAnsi="Arial" w:cs="Arial"/>
        </w:rPr>
      </w:pPr>
    </w:p>
    <w:p w:rsidR="00402E61" w:rsidRDefault="00402E61">
      <w:pPr>
        <w:jc w:val="left"/>
        <w:rPr>
          <w:rFonts w:ascii="Arial" w:hAnsi="Arial" w:cs="Arial"/>
        </w:rPr>
      </w:pPr>
    </w:p>
    <w:p w:rsidR="00402E61" w:rsidRDefault="00402E61">
      <w:pPr>
        <w:jc w:val="left"/>
        <w:rPr>
          <w:rFonts w:ascii="Arial" w:hAnsi="Arial" w:cs="Arial"/>
        </w:rPr>
      </w:pPr>
    </w:p>
    <w:p w:rsidR="00402E61" w:rsidRPr="00DD308F" w:rsidRDefault="00402E61">
      <w:pPr>
        <w:jc w:val="left"/>
        <w:rPr>
          <w:rFonts w:ascii="Arial" w:hAnsi="Arial" w:cs="Arial" w:hint="eastAsia"/>
        </w:rPr>
      </w:pPr>
    </w:p>
    <w:p w:rsidR="00E343FC" w:rsidRPr="00DD308F" w:rsidRDefault="00C03C5E">
      <w:pPr>
        <w:jc w:val="left"/>
        <w:rPr>
          <w:rFonts w:ascii="Arial" w:hAnsi="Arial" w:cs="Arial"/>
        </w:rPr>
      </w:pPr>
      <w:r w:rsidRPr="00DD308F">
        <w:rPr>
          <w:rFonts w:ascii="Arial" w:hAnsi="Arial" w:cs="Arial"/>
        </w:rPr>
        <w:lastRenderedPageBreak/>
        <w:t>&lt;Table 4&gt; Frequency of IFC's Environmental and Social Policies</w:t>
      </w:r>
    </w:p>
    <w:p w:rsidR="00E343FC" w:rsidRPr="00DD308F" w:rsidRDefault="00C03C5E">
      <w:pPr>
        <w:ind w:firstLine="600"/>
        <w:jc w:val="left"/>
        <w:rPr>
          <w:rFonts w:ascii="Arial" w:hAnsi="Arial" w:cs="Arial"/>
        </w:rPr>
      </w:pPr>
      <w:r w:rsidRPr="00DD308F">
        <w:rPr>
          <w:rFonts w:ascii="Arial" w:hAnsi="Arial" w:cs="Arial"/>
          <w:noProof/>
        </w:rPr>
        <w:drawing>
          <wp:inline distT="0" distB="0" distL="0" distR="0">
            <wp:extent cx="5461381" cy="2588133"/>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kwater\AppData\Local\Temp\Hnc\BinData\EMB0000a88c0bd3.emf"/>
                    <pic:cNvPicPr/>
                  </pic:nvPicPr>
                  <pic:blipFill>
                    <a:blip r:embed="rId5"/>
                    <a:stretch>
                      <a:fillRect/>
                    </a:stretch>
                  </pic:blipFill>
                  <pic:spPr>
                    <a:xfrm>
                      <a:off x="0" y="0"/>
                      <a:ext cx="5461381" cy="2588133"/>
                    </a:xfrm>
                    <a:prstGeom prst="rect">
                      <a:avLst/>
                    </a:prstGeom>
                    <a:effectLst/>
                  </pic:spPr>
                </pic:pic>
              </a:graphicData>
            </a:graphic>
          </wp:inline>
        </w:drawing>
      </w: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t>3.3 Comparison with Korean environmental and social legislation</w:t>
      </w:r>
    </w:p>
    <w:p w:rsidR="00E343FC" w:rsidRDefault="00C03C5E">
      <w:pPr>
        <w:pStyle w:val="a4"/>
        <w:rPr>
          <w:rFonts w:ascii="Arial" w:hAnsi="Arial" w:cs="Arial"/>
        </w:rPr>
      </w:pPr>
      <w:r w:rsidRPr="00DD308F">
        <w:rPr>
          <w:rFonts w:ascii="Arial" w:hAnsi="Arial" w:cs="Arial"/>
        </w:rPr>
        <w:t xml:space="preserve">K-water compared its environmental and social obligations under Korean law with the IFC's environmental and social policy to identify gaps in its domestic operations. As shown in Table 4, we found that there are no significant differences between the IFC's environmental and social policies and Korean laws and regulations, and that the same standards are applied. However, the IFC's environmental and social policy is structured as a single policy, while the Korean law regulates the same content in separate laws. According to the Equator Principles, the Republic of Korea is a Designated Country, which means that the environmental and social sectors are managed according to Korean law instead of the Equator Principles, and the Korean legal system is considered to be well developed. However, there are differences in the timing of </w:t>
      </w:r>
      <w:r w:rsidR="0096402E" w:rsidRPr="00DD308F">
        <w:rPr>
          <w:rFonts w:ascii="Arial" w:hAnsi="Arial" w:cs="Arial"/>
        </w:rPr>
        <w:t>Environmental and Social Impact Assessment (</w:t>
      </w:r>
      <w:r w:rsidRPr="00DD308F">
        <w:rPr>
          <w:rFonts w:ascii="Arial" w:hAnsi="Arial" w:cs="Arial"/>
        </w:rPr>
        <w:t>E</w:t>
      </w:r>
      <w:r w:rsidR="0096402E" w:rsidRPr="00DD308F">
        <w:rPr>
          <w:rFonts w:ascii="Arial" w:hAnsi="Arial" w:cs="Arial"/>
        </w:rPr>
        <w:t>S</w:t>
      </w:r>
      <w:r w:rsidRPr="00DD308F">
        <w:rPr>
          <w:rFonts w:ascii="Arial" w:hAnsi="Arial" w:cs="Arial"/>
        </w:rPr>
        <w:t>IA</w:t>
      </w:r>
      <w:r w:rsidR="0096402E" w:rsidRPr="00DD308F">
        <w:rPr>
          <w:rFonts w:ascii="Arial" w:hAnsi="Arial" w:cs="Arial"/>
        </w:rPr>
        <w:t>)</w:t>
      </w:r>
      <w:r w:rsidRPr="00DD308F">
        <w:rPr>
          <w:rFonts w:ascii="Arial" w:hAnsi="Arial" w:cs="Arial"/>
        </w:rPr>
        <w:t xml:space="preserve"> and stakeholder consultation as shown in Table 5. In Korea, E</w:t>
      </w:r>
      <w:r w:rsidR="0096402E" w:rsidRPr="00DD308F">
        <w:rPr>
          <w:rFonts w:ascii="Arial" w:hAnsi="Arial" w:cs="Arial"/>
        </w:rPr>
        <w:t>S</w:t>
      </w:r>
      <w:r w:rsidRPr="00DD308F">
        <w:rPr>
          <w:rFonts w:ascii="Arial" w:hAnsi="Arial" w:cs="Arial"/>
        </w:rPr>
        <w:t xml:space="preserve">IA is implemented once a project is </w:t>
      </w:r>
      <w:r w:rsidR="0096402E" w:rsidRPr="00DD308F">
        <w:rPr>
          <w:rFonts w:ascii="Arial" w:hAnsi="Arial" w:cs="Arial"/>
        </w:rPr>
        <w:t xml:space="preserve">approved </w:t>
      </w:r>
      <w:r w:rsidRPr="00DD308F">
        <w:rPr>
          <w:rFonts w:ascii="Arial" w:hAnsi="Arial" w:cs="Arial"/>
        </w:rPr>
        <w:t>by the government, but in the case of MDBs' p</w:t>
      </w:r>
      <w:r w:rsidR="0096402E" w:rsidRPr="00DD308F">
        <w:rPr>
          <w:rFonts w:ascii="Arial" w:hAnsi="Arial" w:cs="Arial"/>
        </w:rPr>
        <w:t>rojects</w:t>
      </w:r>
      <w:r w:rsidRPr="00DD308F">
        <w:rPr>
          <w:rFonts w:ascii="Arial" w:hAnsi="Arial" w:cs="Arial"/>
        </w:rPr>
        <w:t>, it is implemented from the project proposal stage.</w:t>
      </w:r>
    </w:p>
    <w:p w:rsidR="006F12A6" w:rsidRPr="00DD308F" w:rsidRDefault="006F12A6">
      <w:pPr>
        <w:pStyle w:val="a4"/>
        <w:rPr>
          <w:rFonts w:ascii="Arial" w:hAnsi="Arial" w:cs="Arial" w:hint="eastAsia"/>
        </w:rPr>
      </w:pP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t>&lt;Table 4&gt; Comparison of the IFC's Environmental and Social Policy and the Korean Legal System</w:t>
      </w:r>
    </w:p>
    <w:tbl>
      <w:tblPr>
        <w:tblOverlap w:val="never"/>
        <w:tblW w:w="9087"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795"/>
        <w:gridCol w:w="4548"/>
        <w:gridCol w:w="2744"/>
      </w:tblGrid>
      <w:tr w:rsidR="00E343FC" w:rsidRPr="00DD308F" w:rsidTr="00CF6920">
        <w:trPr>
          <w:trHeight w:val="207"/>
        </w:trPr>
        <w:tc>
          <w:tcPr>
            <w:tcW w:w="1795" w:type="dxa"/>
            <w:tcBorders>
              <w:top w:val="single" w:sz="2" w:space="0" w:color="000000"/>
              <w:left w:val="none" w:sz="2" w:space="0" w:color="000000"/>
              <w:bottom w:val="double" w:sz="5" w:space="0" w:color="000000"/>
              <w:right w:val="double" w:sz="5" w:space="0" w:color="000000"/>
            </w:tcBorders>
            <w:shd w:val="clear" w:color="auto" w:fill="EFEFEF"/>
            <w:tcMar>
              <w:top w:w="28" w:type="dxa"/>
              <w:left w:w="102" w:type="dxa"/>
              <w:bottom w:w="28" w:type="dxa"/>
              <w:right w:w="102" w:type="dxa"/>
            </w:tcMar>
            <w:vAlign w:val="center"/>
          </w:tcPr>
          <w:p w:rsidR="00E343FC" w:rsidRPr="00DD308F" w:rsidRDefault="00C03C5E" w:rsidP="00EB2CBC">
            <w:pPr>
              <w:wordWrap/>
              <w:spacing w:after="0" w:line="240" w:lineRule="auto"/>
              <w:jc w:val="left"/>
              <w:rPr>
                <w:rFonts w:ascii="Arial" w:hAnsi="Arial" w:cs="Arial"/>
              </w:rPr>
            </w:pPr>
            <w:r w:rsidRPr="00DD308F">
              <w:rPr>
                <w:rFonts w:ascii="Arial" w:hAnsi="Arial" w:cs="Arial"/>
                <w:b/>
              </w:rPr>
              <w:t>Separation</w:t>
            </w:r>
          </w:p>
        </w:tc>
        <w:tc>
          <w:tcPr>
            <w:tcW w:w="4548" w:type="dxa"/>
            <w:tcBorders>
              <w:top w:val="single" w:sz="2" w:space="0" w:color="000000"/>
              <w:left w:val="double" w:sz="5" w:space="0" w:color="000000"/>
              <w:bottom w:val="double" w:sz="5" w:space="0" w:color="000000"/>
              <w:right w:val="single" w:sz="2" w:space="0" w:color="000000"/>
            </w:tcBorders>
            <w:shd w:val="clear" w:color="auto" w:fill="EFEFEF"/>
            <w:tcMar>
              <w:top w:w="28" w:type="dxa"/>
              <w:left w:w="102" w:type="dxa"/>
              <w:bottom w:w="28" w:type="dxa"/>
              <w:right w:w="102" w:type="dxa"/>
            </w:tcMar>
            <w:vAlign w:val="center"/>
          </w:tcPr>
          <w:p w:rsidR="00E343FC" w:rsidRPr="00DD308F" w:rsidRDefault="00C03C5E" w:rsidP="00EB2CBC">
            <w:pPr>
              <w:wordWrap/>
              <w:spacing w:after="0" w:line="240" w:lineRule="auto"/>
              <w:jc w:val="left"/>
              <w:rPr>
                <w:rFonts w:ascii="Arial" w:hAnsi="Arial" w:cs="Arial"/>
              </w:rPr>
            </w:pPr>
            <w:r w:rsidRPr="00DD308F">
              <w:rPr>
                <w:rFonts w:ascii="Arial" w:hAnsi="Arial" w:cs="Arial"/>
                <w:b/>
              </w:rPr>
              <w:t>National legislation</w:t>
            </w:r>
          </w:p>
        </w:tc>
        <w:tc>
          <w:tcPr>
            <w:tcW w:w="2744" w:type="dxa"/>
            <w:tcBorders>
              <w:top w:val="single" w:sz="2" w:space="0" w:color="000000"/>
              <w:left w:val="single" w:sz="2" w:space="0" w:color="000000"/>
              <w:bottom w:val="double" w:sz="5" w:space="0" w:color="000000"/>
              <w:right w:val="single" w:sz="2" w:space="0" w:color="000000"/>
            </w:tcBorders>
            <w:shd w:val="clear" w:color="auto" w:fill="EFEFEF"/>
            <w:tcMar>
              <w:top w:w="28" w:type="dxa"/>
              <w:left w:w="102" w:type="dxa"/>
              <w:bottom w:w="28" w:type="dxa"/>
              <w:right w:w="102" w:type="dxa"/>
            </w:tcMar>
            <w:vAlign w:val="center"/>
          </w:tcPr>
          <w:p w:rsidR="00E343FC" w:rsidRPr="00DD308F" w:rsidRDefault="00C03C5E" w:rsidP="00EB2CBC">
            <w:pPr>
              <w:wordWrap/>
              <w:spacing w:after="0" w:line="240" w:lineRule="auto"/>
              <w:jc w:val="left"/>
              <w:rPr>
                <w:rFonts w:ascii="Arial" w:hAnsi="Arial" w:cs="Arial"/>
              </w:rPr>
            </w:pPr>
            <w:r w:rsidRPr="00DD308F">
              <w:rPr>
                <w:rFonts w:ascii="Arial" w:hAnsi="Arial" w:cs="Arial"/>
                <w:b/>
              </w:rPr>
              <w:t>By IFC</w:t>
            </w:r>
          </w:p>
        </w:tc>
      </w:tr>
      <w:tr w:rsidR="00E343FC" w:rsidRPr="00DD308F" w:rsidTr="00CF6920">
        <w:trPr>
          <w:trHeight w:val="572"/>
        </w:trPr>
        <w:tc>
          <w:tcPr>
            <w:tcW w:w="1795" w:type="dxa"/>
            <w:tcBorders>
              <w:top w:val="double" w:sz="5"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1.Environmental Impact Assessment</w:t>
            </w:r>
          </w:p>
        </w:tc>
        <w:tc>
          <w:tcPr>
            <w:tcW w:w="4548" w:type="dxa"/>
            <w:tcBorders>
              <w:top w:val="double" w:sz="5" w:space="0" w:color="000000"/>
              <w:left w:val="double" w:sz="5"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Environmental Policy Framework Act</w:t>
            </w:r>
          </w:p>
          <w:p w:rsidR="00E343FC" w:rsidRPr="00DD308F" w:rsidRDefault="00C03C5E" w:rsidP="00CF6920">
            <w:pPr>
              <w:pStyle w:val="a4"/>
              <w:jc w:val="left"/>
              <w:rPr>
                <w:rFonts w:ascii="Arial" w:hAnsi="Arial" w:cs="Arial"/>
              </w:rPr>
            </w:pPr>
            <w:r w:rsidRPr="00DD308F">
              <w:rPr>
                <w:rFonts w:ascii="Arial" w:hAnsi="Arial" w:cs="Arial"/>
              </w:rPr>
              <w:t>Environmental Impact Assessment</w:t>
            </w:r>
          </w:p>
          <w:p w:rsidR="00E343FC" w:rsidRPr="00DD308F" w:rsidRDefault="00C03C5E" w:rsidP="00CF6920">
            <w:pPr>
              <w:pStyle w:val="a4"/>
              <w:jc w:val="left"/>
              <w:rPr>
                <w:rFonts w:ascii="Arial" w:hAnsi="Arial" w:cs="Arial"/>
              </w:rPr>
            </w:pPr>
            <w:r w:rsidRPr="00DD308F">
              <w:rPr>
                <w:rFonts w:ascii="Arial" w:hAnsi="Arial" w:cs="Arial"/>
              </w:rPr>
              <w:t>Urban Traffic Maintenance Promotion Act, etc.</w:t>
            </w:r>
          </w:p>
        </w:tc>
        <w:tc>
          <w:tcPr>
            <w:tcW w:w="2744" w:type="dxa"/>
            <w:tcBorders>
              <w:top w:val="double" w:sz="5"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PS 1 Environmental and social risks, impact assessment and management</w:t>
            </w:r>
          </w:p>
        </w:tc>
      </w:tr>
      <w:tr w:rsidR="00E343FC" w:rsidRPr="00DD308F" w:rsidTr="00CF6920">
        <w:trPr>
          <w:trHeight w:val="207"/>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2.Migration</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Act on Acquisition and Compensation of Land, etc. for Public Utilities</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PS 5 Land Acquisition and Involuntary Resettlement</w:t>
            </w:r>
          </w:p>
        </w:tc>
      </w:tr>
      <w:tr w:rsidR="00E343FC" w:rsidRPr="00DD308F" w:rsidTr="00CF6920">
        <w:trPr>
          <w:trHeight w:val="38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3.Native</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Act on the Acquisition and Compensation of Land, etc. for Public Utilities</w:t>
            </w:r>
          </w:p>
          <w:p w:rsidR="00E343FC" w:rsidRPr="00DD308F" w:rsidRDefault="00C03C5E" w:rsidP="00CF6920">
            <w:pPr>
              <w:pStyle w:val="a4"/>
              <w:jc w:val="left"/>
              <w:rPr>
                <w:rFonts w:ascii="Arial" w:hAnsi="Arial" w:cs="Arial"/>
              </w:rPr>
            </w:pPr>
            <w:r w:rsidRPr="00DD308F">
              <w:rPr>
                <w:rFonts w:ascii="Arial" w:hAnsi="Arial" w:cs="Arial"/>
              </w:rPr>
              <w:t>National Human Rights Commission Act, etc.</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PS 7 Native</w:t>
            </w:r>
          </w:p>
        </w:tc>
      </w:tr>
      <w:tr w:rsidR="00E343FC" w:rsidRPr="00DD308F" w:rsidTr="00CF6920">
        <w:trPr>
          <w:trHeight w:val="38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4.labour</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Labor Standards Act</w:t>
            </w:r>
          </w:p>
          <w:p w:rsidR="00E343FC" w:rsidRPr="00DD308F" w:rsidRDefault="00C03C5E" w:rsidP="00CF6920">
            <w:pPr>
              <w:pStyle w:val="a4"/>
              <w:jc w:val="left"/>
              <w:rPr>
                <w:rFonts w:ascii="Arial" w:hAnsi="Arial" w:cs="Arial"/>
              </w:rPr>
            </w:pPr>
            <w:r w:rsidRPr="00DD308F">
              <w:rPr>
                <w:rFonts w:ascii="Arial" w:hAnsi="Arial" w:cs="Arial"/>
              </w:rPr>
              <w:t>Occupational Health and Safety Act</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PS 2 Labor</w:t>
            </w:r>
            <w:r w:rsidRPr="00DD308F">
              <w:rPr>
                <w:rFonts w:ascii="Arial" w:hAnsi="Arial" w:cs="Arial"/>
                <w:spacing w:val="-24"/>
              </w:rPr>
              <w:t xml:space="preserve"> </w:t>
            </w:r>
          </w:p>
        </w:tc>
      </w:tr>
      <w:tr w:rsidR="00E343FC" w:rsidRPr="00DD308F" w:rsidTr="00CF6920">
        <w:trPr>
          <w:trHeight w:val="764"/>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5.Contamination prevention</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Water Conservation Act</w:t>
            </w:r>
          </w:p>
          <w:p w:rsidR="00E343FC" w:rsidRPr="00DD308F" w:rsidRDefault="00C03C5E" w:rsidP="00CF6920">
            <w:pPr>
              <w:pStyle w:val="a4"/>
              <w:jc w:val="left"/>
              <w:rPr>
                <w:rFonts w:ascii="Arial" w:hAnsi="Arial" w:cs="Arial"/>
              </w:rPr>
            </w:pPr>
            <w:r w:rsidRPr="00DD308F">
              <w:rPr>
                <w:rFonts w:ascii="Arial" w:hAnsi="Arial" w:cs="Arial"/>
              </w:rPr>
              <w:t>Chemical Control Act</w:t>
            </w:r>
          </w:p>
          <w:p w:rsidR="00E343FC" w:rsidRPr="00DD308F" w:rsidRDefault="00C03C5E" w:rsidP="00CF6920">
            <w:pPr>
              <w:pStyle w:val="a4"/>
              <w:jc w:val="left"/>
              <w:rPr>
                <w:rFonts w:ascii="Arial" w:hAnsi="Arial" w:cs="Arial"/>
              </w:rPr>
            </w:pPr>
            <w:r w:rsidRPr="00DD308F">
              <w:rPr>
                <w:rFonts w:ascii="Arial" w:hAnsi="Arial" w:cs="Arial"/>
              </w:rPr>
              <w:t>Clean Air Act</w:t>
            </w:r>
          </w:p>
          <w:p w:rsidR="00E343FC" w:rsidRPr="00DD308F" w:rsidRDefault="00C03C5E" w:rsidP="00CF6920">
            <w:pPr>
              <w:pStyle w:val="a4"/>
              <w:jc w:val="left"/>
              <w:rPr>
                <w:rFonts w:ascii="Arial" w:hAnsi="Arial" w:cs="Arial"/>
              </w:rPr>
            </w:pPr>
            <w:r w:rsidRPr="00DD308F">
              <w:rPr>
                <w:rFonts w:ascii="Arial" w:hAnsi="Arial" w:cs="Arial"/>
              </w:rPr>
              <w:t>Noise and Vibration Management Act, etc.</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PS 3 Resource efficiency, pollution prevention</w:t>
            </w:r>
          </w:p>
        </w:tc>
      </w:tr>
      <w:tr w:rsidR="00E343FC" w:rsidRPr="00DD308F" w:rsidTr="00CF6920">
        <w:trPr>
          <w:trHeight w:val="764"/>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6.Health</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Occupational Health and Safety Act</w:t>
            </w:r>
          </w:p>
          <w:p w:rsidR="00E343FC" w:rsidRPr="00DD308F" w:rsidRDefault="00C03C5E" w:rsidP="00CF6920">
            <w:pPr>
              <w:pStyle w:val="a4"/>
              <w:jc w:val="left"/>
              <w:rPr>
                <w:rFonts w:ascii="Arial" w:hAnsi="Arial" w:cs="Arial"/>
              </w:rPr>
            </w:pPr>
            <w:r w:rsidRPr="00DD308F">
              <w:rPr>
                <w:rFonts w:ascii="Arial" w:hAnsi="Arial" w:cs="Arial"/>
              </w:rPr>
              <w:t>Chemical Control Act</w:t>
            </w:r>
          </w:p>
          <w:p w:rsidR="00E343FC" w:rsidRPr="00DD308F" w:rsidRDefault="00C03C5E" w:rsidP="00CF6920">
            <w:pPr>
              <w:pStyle w:val="a4"/>
              <w:jc w:val="left"/>
              <w:rPr>
                <w:rFonts w:ascii="Arial" w:hAnsi="Arial" w:cs="Arial"/>
              </w:rPr>
            </w:pPr>
            <w:r w:rsidRPr="00DD308F">
              <w:rPr>
                <w:rFonts w:ascii="Arial" w:hAnsi="Arial" w:cs="Arial"/>
              </w:rPr>
              <w:t xml:space="preserve">Disaster and Safety Management Framework </w:t>
            </w:r>
            <w:r w:rsidRPr="00DD308F">
              <w:rPr>
                <w:rFonts w:ascii="Arial" w:hAnsi="Arial" w:cs="Arial"/>
              </w:rPr>
              <w:lastRenderedPageBreak/>
              <w:t>Act</w:t>
            </w:r>
          </w:p>
          <w:p w:rsidR="00E343FC" w:rsidRPr="00DD308F" w:rsidRDefault="00C03C5E" w:rsidP="00CF6920">
            <w:pPr>
              <w:pStyle w:val="a4"/>
              <w:jc w:val="left"/>
              <w:rPr>
                <w:rFonts w:ascii="Arial" w:hAnsi="Arial" w:cs="Arial"/>
              </w:rPr>
            </w:pPr>
            <w:r w:rsidRPr="00DD308F">
              <w:rPr>
                <w:rFonts w:ascii="Arial" w:hAnsi="Arial" w:cs="Arial"/>
              </w:rPr>
              <w:t>Natural Disasters Act</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lastRenderedPageBreak/>
              <w:t>PS 4 Community health, safety, and security</w:t>
            </w:r>
          </w:p>
        </w:tc>
      </w:tr>
      <w:tr w:rsidR="00E343FC" w:rsidRPr="00DD308F" w:rsidTr="00CF6920">
        <w:trPr>
          <w:trHeight w:val="38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7.Biodiversity</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Environmental Impact Assessment Act</w:t>
            </w:r>
          </w:p>
          <w:p w:rsidR="00E343FC" w:rsidRPr="00DD308F" w:rsidRDefault="00C03C5E" w:rsidP="00CF6920">
            <w:pPr>
              <w:pStyle w:val="a4"/>
              <w:jc w:val="left"/>
              <w:rPr>
                <w:rFonts w:ascii="Arial" w:hAnsi="Arial" w:cs="Arial"/>
              </w:rPr>
            </w:pPr>
            <w:r w:rsidRPr="00DD308F">
              <w:rPr>
                <w:rFonts w:ascii="Arial" w:hAnsi="Arial" w:cs="Arial"/>
              </w:rPr>
              <w:t>Laws on wildlife conservation and management, etc.</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PS 6 Biodiversity conservation and sustainable natural environments</w:t>
            </w:r>
          </w:p>
        </w:tc>
      </w:tr>
      <w:tr w:rsidR="00E343FC" w:rsidRPr="00DD308F" w:rsidTr="00CF6920">
        <w:trPr>
          <w:trHeight w:val="57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8.Cultural Heritage</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Cultural Property Protection Act</w:t>
            </w:r>
          </w:p>
          <w:p w:rsidR="00E343FC" w:rsidRPr="00DD308F" w:rsidRDefault="00C03C5E" w:rsidP="00CF6920">
            <w:pPr>
              <w:pStyle w:val="a4"/>
              <w:jc w:val="left"/>
              <w:rPr>
                <w:rFonts w:ascii="Arial" w:hAnsi="Arial" w:cs="Arial"/>
              </w:rPr>
            </w:pPr>
            <w:r w:rsidRPr="00DD308F">
              <w:rPr>
                <w:rFonts w:ascii="Arial" w:hAnsi="Arial" w:cs="Arial"/>
              </w:rPr>
              <w:t>Act on the Protection and Investigation of Buried Cultural Property</w:t>
            </w:r>
          </w:p>
          <w:p w:rsidR="00E343FC" w:rsidRPr="00DD308F" w:rsidRDefault="00C03C5E" w:rsidP="00CF6920">
            <w:pPr>
              <w:pStyle w:val="a4"/>
              <w:jc w:val="left"/>
              <w:rPr>
                <w:rFonts w:ascii="Arial" w:hAnsi="Arial" w:cs="Arial"/>
              </w:rPr>
            </w:pPr>
            <w:r w:rsidRPr="00DD308F">
              <w:rPr>
                <w:rFonts w:ascii="Arial" w:hAnsi="Arial" w:cs="Arial"/>
              </w:rPr>
              <w:t>Special Act on the Conservation, Management and Utili</w:t>
            </w:r>
            <w:r w:rsidR="00D703B7" w:rsidRPr="00DD308F">
              <w:rPr>
                <w:rFonts w:ascii="Arial" w:hAnsi="Arial" w:cs="Arial"/>
              </w:rPr>
              <w:t>z</w:t>
            </w:r>
            <w:r w:rsidRPr="00DD308F">
              <w:rPr>
                <w:rFonts w:ascii="Arial" w:hAnsi="Arial" w:cs="Arial"/>
              </w:rPr>
              <w:t>ation of World Heritage Sites</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PS 8 Cultural Heritage</w:t>
            </w:r>
          </w:p>
        </w:tc>
      </w:tr>
      <w:tr w:rsidR="00E343FC" w:rsidRPr="00DD308F" w:rsidTr="00CF6920">
        <w:trPr>
          <w:trHeight w:val="38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9.Stakeholders</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Environmental Impact Assessment Act</w:t>
            </w:r>
          </w:p>
          <w:p w:rsidR="00E343FC" w:rsidRPr="00DD308F" w:rsidRDefault="00C03C5E" w:rsidP="00CF6920">
            <w:pPr>
              <w:pStyle w:val="a4"/>
              <w:jc w:val="left"/>
              <w:rPr>
                <w:rFonts w:ascii="Arial" w:hAnsi="Arial" w:cs="Arial"/>
              </w:rPr>
            </w:pPr>
            <w:r w:rsidRPr="00DD308F">
              <w:rPr>
                <w:rFonts w:ascii="Arial" w:hAnsi="Arial" w:cs="Arial"/>
              </w:rPr>
              <w:t>Occupational Health and Safety Act, etc.</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PS 1 Environmental and social risks, impact assessment and management</w:t>
            </w:r>
          </w:p>
        </w:tc>
      </w:tr>
      <w:tr w:rsidR="00E343FC" w:rsidRPr="00DD308F" w:rsidTr="00CF6920">
        <w:trPr>
          <w:trHeight w:val="207"/>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10.Finance</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Act on External Audit of Joint Stock Companies, etc.</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PS 1 Environmental and social risks, impact assessment and management</w:t>
            </w:r>
          </w:p>
        </w:tc>
      </w:tr>
      <w:tr w:rsidR="00E343FC" w:rsidRPr="00DD308F" w:rsidTr="00CF6920">
        <w:trPr>
          <w:trHeight w:val="382"/>
        </w:trPr>
        <w:tc>
          <w:tcPr>
            <w:tcW w:w="1795" w:type="dxa"/>
            <w:tcBorders>
              <w:top w:val="single" w:sz="2" w:space="0" w:color="000000"/>
              <w:left w:val="none" w:sz="2" w:space="0" w:color="000000"/>
              <w:bottom w:val="single" w:sz="2" w:space="0" w:color="000000"/>
              <w:right w:val="double" w:sz="5"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11.Gender equality</w:t>
            </w:r>
          </w:p>
        </w:tc>
        <w:tc>
          <w:tcPr>
            <w:tcW w:w="4548" w:type="dxa"/>
            <w:tcBorders>
              <w:top w:val="single" w:sz="2" w:space="0" w:color="000000"/>
              <w:left w:val="double" w:sz="5"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Gender Equality Act</w:t>
            </w:r>
          </w:p>
          <w:p w:rsidR="00E343FC" w:rsidRPr="00DD308F" w:rsidRDefault="00C03C5E" w:rsidP="00CF6920">
            <w:pPr>
              <w:pStyle w:val="a4"/>
              <w:jc w:val="left"/>
              <w:rPr>
                <w:rFonts w:ascii="Arial" w:hAnsi="Arial" w:cs="Arial"/>
              </w:rPr>
            </w:pPr>
            <w:r w:rsidRPr="00DD308F">
              <w:rPr>
                <w:rFonts w:ascii="Arial" w:hAnsi="Arial" w:cs="Arial"/>
              </w:rPr>
              <w:t>Sexual Violence Prevention and Victim Protection Act</w:t>
            </w:r>
          </w:p>
        </w:tc>
        <w:tc>
          <w:tcPr>
            <w:tcW w:w="2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E343FC" w:rsidRPr="00DD308F" w:rsidRDefault="00C03C5E" w:rsidP="00CF6920">
            <w:pPr>
              <w:pStyle w:val="a4"/>
              <w:jc w:val="left"/>
              <w:rPr>
                <w:rFonts w:ascii="Arial" w:hAnsi="Arial" w:cs="Arial"/>
              </w:rPr>
            </w:pPr>
            <w:r w:rsidRPr="00DD308F">
              <w:rPr>
                <w:rFonts w:ascii="Arial" w:hAnsi="Arial" w:cs="Arial"/>
              </w:rPr>
              <w:t>PS 1 Environmental and social risks, impact assessment and management</w:t>
            </w:r>
          </w:p>
        </w:tc>
      </w:tr>
    </w:tbl>
    <w:p w:rsidR="00E343FC" w:rsidRPr="00DD308F" w:rsidRDefault="00E343FC">
      <w:pPr>
        <w:ind w:firstLine="600"/>
        <w:rPr>
          <w:rFonts w:ascii="Arial" w:hAnsi="Arial" w:cs="Arial"/>
        </w:rPr>
      </w:pPr>
    </w:p>
    <w:p w:rsidR="00CF6920" w:rsidRPr="00DD308F" w:rsidRDefault="00CF6920">
      <w:pPr>
        <w:ind w:firstLine="600"/>
        <w:rPr>
          <w:rFonts w:ascii="Arial" w:hAnsi="Arial" w:cs="Arial"/>
        </w:rPr>
      </w:pP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t>&lt;Table 5&gt; Timeline and flow chart for MDBs and Korea's environmental and social impact assessments</w:t>
      </w:r>
    </w:p>
    <w:p w:rsidR="00E343FC" w:rsidRPr="00DD308F" w:rsidRDefault="0072522A">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pict>
          <v:rect id="_x1493841479" o:spid="_x0000_s1049" style="position:absolute;left:0;text-align:left;margin-left:3.4pt;margin-top:1.65pt;width:182.7pt;height:27.6pt;z-index:251659265;mso-wrap-distance-left:0;mso-wrap-distance-top:0;mso-wrap-distance-right:0;mso-wrap-distance-bottom:0;mso-position-horizontal:absolute;mso-position-horizontal-relative:text;mso-position-vertical:absolute;mso-position-vertical-relative:line;v-text-anchor:middle" o:connectortype="straight" o:allowincell="f" fillcolor="#1f4d78" stroked="f">
            <v:textbox style="mso-next-textbox:#_x1493841479" inset="0,0,0,1mm">
              <w:txbxContent>
                <w:p w:rsidR="00E343FC" w:rsidRPr="00D703B7" w:rsidRDefault="00C03C5E">
                  <w:pPr>
                    <w:pStyle w:val="a5"/>
                    <w:widowControl w:val="0"/>
                    <w:spacing w:before="0" w:after="0"/>
                    <w:jc w:val="center"/>
                    <w:rPr>
                      <w:sz w:val="20"/>
                      <w:szCs w:val="20"/>
                    </w:rPr>
                  </w:pPr>
                  <w:r w:rsidRPr="00D703B7">
                    <w:rPr>
                      <w:rFonts w:ascii="Arial"/>
                      <w:b/>
                      <w:color w:val="FFFFFF"/>
                      <w:kern w:val="1"/>
                      <w:sz w:val="20"/>
                      <w:szCs w:val="20"/>
                    </w:rPr>
                    <w:t>Domestic Environmental Impact Assessment</w:t>
                  </w:r>
                </w:p>
              </w:txbxContent>
            </v:textbox>
          </v:rect>
        </w:pict>
      </w:r>
      <w:r w:rsidRPr="00DD308F">
        <w:rPr>
          <w:rFonts w:ascii="Arial" w:hAnsi="Arial" w:cs="Arial"/>
        </w:rPr>
        <w:pict>
          <v:rect id="_x1493841481" o:spid="_x0000_s1048" style="position:absolute;left:0;text-align:left;margin-left:258.75pt;margin-top:3.55pt;width:215.6pt;height:25.7pt;z-index:251660289;mso-wrap-distance-left:0;mso-wrap-distance-top:0;mso-wrap-distance-right:0;mso-wrap-distance-bottom:0;mso-position-horizontal:absolute;mso-position-horizontal-relative:text;mso-position-vertical:absolute;mso-position-vertical-relative:line;v-text-anchor:middle" o:connectortype="straight" o:allowincell="f" fillcolor="#8d2b50" stroked="f">
            <v:textbox style="mso-next-textbox:#_x1493841481" inset="0,0,0,1mm">
              <w:txbxContent>
                <w:p w:rsidR="00E343FC" w:rsidRPr="00D703B7" w:rsidRDefault="00C03C5E">
                  <w:pPr>
                    <w:pStyle w:val="a5"/>
                    <w:widowControl w:val="0"/>
                    <w:spacing w:before="0" w:after="0"/>
                    <w:jc w:val="center"/>
                    <w:rPr>
                      <w:sz w:val="20"/>
                      <w:szCs w:val="20"/>
                    </w:rPr>
                  </w:pPr>
                  <w:r w:rsidRPr="00D703B7">
                    <w:rPr>
                      <w:rFonts w:ascii="Arial"/>
                      <w:b/>
                      <w:color w:val="FFFFFF"/>
                      <w:kern w:val="1"/>
                      <w:sz w:val="20"/>
                      <w:szCs w:val="20"/>
                    </w:rPr>
                    <w:t>Overseas Environmental and Social Impact Assessments</w:t>
                  </w:r>
                </w:p>
              </w:txbxContent>
            </v:textbox>
          </v:rect>
        </w:pict>
      </w:r>
      <w:r w:rsidRPr="00DD308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493841497" o:spid="_x0000_s1063" type="#_x0000_t75" style="position:absolute;left:0;text-align:left;margin-left:176.65pt;margin-top:131.9pt;width:95.25pt;height:52.35pt;z-index:251664385;mso-wrap-style:square;mso-wrap-distance-left:0;mso-wrap-distance-top:0;mso-wrap-distance-right:0;mso-wrap-distance-bottom:0;mso-position-horizontal:absolute;mso-position-horizontal-relative:text;mso-position-vertical:absolute;mso-position-vertical-relative:line;v-text-anchor:top" o:connectortype="straight">
            <v:imagedata r:id="rId6" o:title="DRW0000a88c0bd7"/>
          </v:shape>
        </w:pict>
      </w:r>
      <w:r w:rsidRPr="00DD308F">
        <w:rPr>
          <w:rFonts w:ascii="Arial" w:hAnsi="Arial" w:cs="Arial"/>
        </w:rPr>
        <w:pict>
          <v:oval id="_x1493841453" o:spid="_x0000_s1062" style="position:absolute;left:0;text-align:left;margin-left:324.7pt;margin-top:165.6pt;width:89.65pt;height:76.5pt;z-index:251686913;mso-wrap-style:square;mso-wrap-distance-left:0;mso-wrap-distance-top:0;mso-wrap-distance-right:0;mso-wrap-distance-bottom:0;mso-position-horizontal:absolute;mso-position-horizontal-relative:text;mso-position-vertical:absolute;mso-position-vertical-relative:line;v-text-anchor:middle" o:connectortype="straight" o:allowincell="f" fillcolor="#8d2b50" stroked="f">
            <v:textbox style="mso-next-textbox:#_x1493841453" inset="0,0,0,1mm">
              <w:txbxContent>
                <w:p w:rsidR="00E343FC" w:rsidRPr="00D703B7" w:rsidRDefault="00C03C5E" w:rsidP="00D703B7">
                  <w:pPr>
                    <w:pStyle w:val="a5"/>
                    <w:widowControl w:val="0"/>
                    <w:spacing w:before="0" w:after="0" w:line="288" w:lineRule="auto"/>
                    <w:jc w:val="center"/>
                    <w:rPr>
                      <w:sz w:val="20"/>
                    </w:rPr>
                  </w:pPr>
                  <w:r w:rsidRPr="00D703B7">
                    <w:rPr>
                      <w:rFonts w:ascii="Arial"/>
                      <w:b/>
                      <w:color w:val="FFFFFF"/>
                      <w:kern w:val="1"/>
                      <w:sz w:val="16"/>
                    </w:rPr>
                    <w:t xml:space="preserve">Consultation with </w:t>
                  </w:r>
                  <w:r w:rsidR="00D703B7">
                    <w:rPr>
                      <w:rFonts w:ascii="Arial"/>
                      <w:b/>
                      <w:color w:val="FFFFFF"/>
                      <w:kern w:val="1"/>
                      <w:sz w:val="16"/>
                    </w:rPr>
                    <w:t>community and stakeholders</w:t>
                  </w:r>
                </w:p>
              </w:txbxContent>
            </v:textbox>
          </v:oval>
        </w:pict>
      </w:r>
      <w:r w:rsidRPr="00DD308F">
        <w:rPr>
          <w:rFonts w:ascii="Arial" w:hAnsi="Arial" w:cs="Arial"/>
        </w:rPr>
        <w:pict>
          <v:oval id="_x1493841455" o:spid="_x0000_s1061" style="position:absolute;left:0;text-align:left;margin-left:315.85pt;margin-top:158.1pt;width:106.35pt;height:92.05pt;z-index:251685889;mso-wrap-style:square;mso-wrap-distance-left:0;mso-wrap-distance-top:0;mso-wrap-distance-right:0;mso-wrap-distance-bottom:0;mso-position-horizontal:absolute;mso-position-horizontal-relative:text;mso-position-vertical:absolute;mso-position-vertical-relative:line;v-text-anchor:top" o:connectortype="straight" o:allowincell="f" filled="f" strokecolor="#bfbfbf" strokeweight="1pt"/>
        </w:pict>
      </w:r>
      <w:r w:rsidRPr="00DD308F">
        <w:rPr>
          <w:rFonts w:ascii="Arial" w:hAnsi="Arial" w:cs="Arial"/>
        </w:rPr>
        <w:pict>
          <v:oval id="_x1493841457" o:spid="_x0000_s1060" style="position:absolute;left:0;text-align:left;margin-left:36.7pt;margin-top:165.6pt;width:91.7pt;height:76.5pt;z-index:251693057;mso-wrap-style:square;mso-wrap-distance-left:0;mso-wrap-distance-top:0;mso-wrap-distance-right:0;mso-wrap-distance-bottom:0;mso-position-horizontal:absolute;mso-position-horizontal-relative:text;mso-position-vertical:absolute;mso-position-vertical-relative:line;v-text-anchor:middle" o:connectortype="straight" o:allowincell="f" fillcolor="#1f4d78" stroked="f">
            <v:textbox style="mso-next-textbox:#_x1493841457" inset="0,0,0,0">
              <w:txbxContent>
                <w:p w:rsidR="00E343FC" w:rsidRPr="00D703B7" w:rsidRDefault="00C03C5E">
                  <w:pPr>
                    <w:pStyle w:val="a5"/>
                    <w:widowControl w:val="0"/>
                    <w:spacing w:before="0" w:after="0" w:line="288" w:lineRule="auto"/>
                    <w:jc w:val="center"/>
                    <w:rPr>
                      <w:sz w:val="18"/>
                    </w:rPr>
                  </w:pPr>
                  <w:r w:rsidRPr="00D703B7">
                    <w:rPr>
                      <w:rFonts w:ascii="Arial"/>
                      <w:b/>
                      <w:color w:val="FFFFFF"/>
                      <w:kern w:val="1"/>
                      <w:sz w:val="14"/>
                    </w:rPr>
                    <w:t>Expert assessment</w:t>
                  </w:r>
                </w:p>
                <w:p w:rsidR="00E343FC" w:rsidRPr="00D703B7" w:rsidRDefault="00C03C5E">
                  <w:pPr>
                    <w:pStyle w:val="a5"/>
                    <w:widowControl w:val="0"/>
                    <w:spacing w:before="0" w:after="0" w:line="288" w:lineRule="auto"/>
                    <w:jc w:val="center"/>
                    <w:rPr>
                      <w:sz w:val="18"/>
                    </w:rPr>
                  </w:pPr>
                  <w:r w:rsidRPr="00D703B7">
                    <w:rPr>
                      <w:rFonts w:ascii="Arial"/>
                      <w:b/>
                      <w:color w:val="FFFFFF"/>
                      <w:kern w:val="1"/>
                      <w:sz w:val="14"/>
                    </w:rPr>
                    <w:t>and</w:t>
                  </w:r>
                </w:p>
                <w:p w:rsidR="00E343FC" w:rsidRDefault="00C03C5E" w:rsidP="00D703B7">
                  <w:pPr>
                    <w:pStyle w:val="a5"/>
                    <w:widowControl w:val="0"/>
                    <w:spacing w:before="0" w:after="0" w:line="288" w:lineRule="auto"/>
                    <w:jc w:val="center"/>
                    <w:rPr>
                      <w:rFonts w:ascii="Arial"/>
                      <w:b/>
                      <w:color w:val="FFFFFF"/>
                      <w:kern w:val="1"/>
                      <w:sz w:val="14"/>
                    </w:rPr>
                  </w:pPr>
                  <w:r w:rsidRPr="00D703B7">
                    <w:rPr>
                      <w:rFonts w:ascii="Arial"/>
                      <w:b/>
                      <w:color w:val="FFFFFF"/>
                      <w:kern w:val="1"/>
                      <w:sz w:val="14"/>
                    </w:rPr>
                    <w:t>consultation</w:t>
                  </w:r>
                </w:p>
                <w:p w:rsidR="00D703B7" w:rsidRPr="00D703B7" w:rsidRDefault="00D703B7" w:rsidP="00D703B7">
                  <w:pPr>
                    <w:pStyle w:val="a5"/>
                    <w:widowControl w:val="0"/>
                    <w:spacing w:before="0" w:after="0" w:line="288" w:lineRule="auto"/>
                    <w:jc w:val="center"/>
                    <w:rPr>
                      <w:rFonts w:ascii="Arial"/>
                      <w:b/>
                      <w:color w:val="FFFFFF"/>
                      <w:kern w:val="1"/>
                      <w:sz w:val="14"/>
                    </w:rPr>
                  </w:pPr>
                  <w:r>
                    <w:rPr>
                      <w:rFonts w:ascii="Arial" w:hint="eastAsia"/>
                      <w:b/>
                      <w:color w:val="FFFFFF"/>
                      <w:kern w:val="1"/>
                      <w:sz w:val="14"/>
                    </w:rPr>
                    <w:t>b</w:t>
                  </w:r>
                  <w:r>
                    <w:rPr>
                      <w:rFonts w:ascii="Arial"/>
                      <w:b/>
                      <w:color w:val="FFFFFF"/>
                      <w:kern w:val="1"/>
                      <w:sz w:val="14"/>
                    </w:rPr>
                    <w:t xml:space="preserve">y </w:t>
                  </w:r>
                  <w:r w:rsidRPr="00D703B7">
                    <w:rPr>
                      <w:rFonts w:ascii="Arial"/>
                      <w:b/>
                      <w:color w:val="FFFFFF"/>
                      <w:kern w:val="1"/>
                      <w:sz w:val="14"/>
                    </w:rPr>
                    <w:t>Government</w:t>
                  </w:r>
                </w:p>
              </w:txbxContent>
            </v:textbox>
          </v:oval>
        </w:pict>
      </w:r>
      <w:r w:rsidRPr="00DD308F">
        <w:rPr>
          <w:rFonts w:ascii="Arial" w:hAnsi="Arial" w:cs="Arial"/>
        </w:rPr>
        <w:pict>
          <v:oval id="_x1493841459" o:spid="_x0000_s1059" style="position:absolute;left:0;text-align:left;margin-left:27.15pt;margin-top:158.1pt;width:106.35pt;height:92pt;z-index:251692033;mso-wrap-style:square;mso-wrap-distance-left:0;mso-wrap-distance-top:0;mso-wrap-distance-right:0;mso-wrap-distance-bottom:0;mso-position-horizontal:absolute;mso-position-horizontal-relative:text;mso-position-vertical:absolute;mso-position-vertical-relative:line;v-text-anchor:top" o:connectortype="straight" o:allowincell="f" filled="f" strokecolor="#bfbfbf" strokeweight="1pt"/>
        </w:pict>
      </w:r>
      <w:r w:rsidRPr="00DD308F">
        <w:rPr>
          <w:rFonts w:ascii="Arial" w:hAnsi="Arial" w:cs="Arial"/>
        </w:rPr>
        <w:pict>
          <v:roundrect id="_x1493841465" o:spid="_x0000_s1056" style="position:absolute;left:0;text-align:left;margin-left:13.55pt;margin-top:55.2pt;width:141.7pt;height:22.4pt;z-index:251671553;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9cc2e5" stroked="f">
            <v:textbox style="mso-next-textbox:#_x1493841465" inset="0,0,0,0">
              <w:txbxContent>
                <w:p w:rsidR="00E343FC" w:rsidRDefault="00C03C5E">
                  <w:pPr>
                    <w:pStyle w:val="a5"/>
                    <w:widowControl w:val="0"/>
                    <w:spacing w:before="0" w:after="0"/>
                    <w:jc w:val="center"/>
                  </w:pPr>
                  <w:r>
                    <w:rPr>
                      <w:rFonts w:ascii="Arial"/>
                      <w:b/>
                      <w:color w:val="1F4E79"/>
                      <w:kern w:val="1"/>
                      <w:sz w:val="20"/>
                    </w:rPr>
                    <w:t>No public consultation</w:t>
                  </w:r>
                </w:p>
              </w:txbxContent>
            </v:textbox>
          </v:roundrect>
        </w:pict>
      </w:r>
      <w:r w:rsidRPr="00DD308F">
        <w:rPr>
          <w:rFonts w:ascii="Arial" w:hAnsi="Arial" w:cs="Arial"/>
        </w:rPr>
        <w:pict>
          <v:roundrect id="_x1493841467" o:spid="_x0000_s1055" style="position:absolute;left:0;text-align:left;margin-left:298.2pt;margin-top:58.95pt;width:141.7pt;height:19pt;z-index:251668481;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f4b083" stroked="f">
            <v:textbox style="mso-next-textbox:#_x1493841467" inset="0,0,0,0">
              <w:txbxContent>
                <w:p w:rsidR="00E343FC" w:rsidRDefault="0096402E">
                  <w:pPr>
                    <w:pStyle w:val="a5"/>
                    <w:widowControl w:val="0"/>
                    <w:spacing w:before="0" w:after="0"/>
                    <w:jc w:val="center"/>
                  </w:pPr>
                  <w:r>
                    <w:rPr>
                      <w:rFonts w:ascii="Arial"/>
                      <w:b/>
                      <w:color w:val="833C0B"/>
                      <w:kern w:val="1"/>
                      <w:sz w:val="20"/>
                    </w:rPr>
                    <w:t>Public</w:t>
                  </w:r>
                  <w:r w:rsidR="00C03C5E">
                    <w:rPr>
                      <w:rFonts w:ascii="Arial"/>
                      <w:b/>
                      <w:color w:val="833C0B"/>
                      <w:kern w:val="1"/>
                      <w:sz w:val="20"/>
                    </w:rPr>
                    <w:t xml:space="preserve"> </w:t>
                  </w:r>
                  <w:r w:rsidR="00D703B7">
                    <w:rPr>
                      <w:rFonts w:ascii="Arial"/>
                      <w:b/>
                      <w:color w:val="833C0B"/>
                      <w:kern w:val="1"/>
                      <w:sz w:val="20"/>
                    </w:rPr>
                    <w:t>Consultation</w:t>
                  </w:r>
                </w:p>
              </w:txbxContent>
            </v:textbox>
          </v:roundrect>
        </w:pict>
      </w:r>
      <w:r w:rsidRPr="00DD308F">
        <w:rPr>
          <w:rFonts w:ascii="Arial" w:hAnsi="Arial" w:cs="Arial"/>
        </w:rPr>
        <w:pict>
          <v:polyline id="_x1493841469" o:spid="_x0000_s1054" style="position:absolute;left:0;text-align:left;z-index:251665409;mso-wrap-style:square;mso-wrap-distance-left:0;mso-wrap-distance-top:0;mso-wrap-distance-right:0;mso-wrap-distance-bottom:0;mso-position-horizontal:absolute;mso-position-horizontal-relative:text;mso-position-vertical:absolute;mso-position-vertical-relative:line;v-text-anchor:top" points="186.1pt,145.75pt,186.1pt,166.8pt,261.05pt,166.8pt,261.05pt,145.75pt,186.1pt,145.75pt" coordsize="1499,421" o:connectortype="straight" o:allowincell="f" filled="f" stroked="f">
            <v:textbox style="mso-next-textbox:#_x1493841469" inset="3mm,1mm,3mm,1mm">
              <w:txbxContent>
                <w:p w:rsidR="00E343FC" w:rsidRPr="00D703B7" w:rsidRDefault="00D703B7">
                  <w:pPr>
                    <w:pStyle w:val="a5"/>
                    <w:widowControl w:val="0"/>
                    <w:spacing w:before="0" w:after="0"/>
                    <w:jc w:val="center"/>
                    <w:rPr>
                      <w:w w:val="80"/>
                    </w:rPr>
                  </w:pPr>
                  <w:r w:rsidRPr="00D703B7">
                    <w:rPr>
                      <w:rFonts w:ascii="Arial"/>
                      <w:b/>
                      <w:color w:val="404040"/>
                      <w:spacing w:val="50"/>
                      <w:w w:val="80"/>
                      <w:kern w:val="1"/>
                      <w:sz w:val="20"/>
                    </w:rPr>
                    <w:t>Approval</w:t>
                  </w:r>
                </w:p>
              </w:txbxContent>
            </v:textbox>
          </v:polyline>
        </w:pict>
      </w:r>
      <w:r w:rsidRPr="00DD308F">
        <w:rPr>
          <w:rFonts w:ascii="Arial" w:hAnsi="Arial" w:cs="Arial"/>
        </w:rPr>
        <w:pict>
          <v:roundrect id="_x1493841471" o:spid="_x0000_s1053" style="position:absolute;left:0;text-align:left;margin-left:177.2pt;margin-top:191.4pt;width:100.65pt;height:21pt;z-index:251666433;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0070c0" strokecolor="#acb9ca" strokeweight="2.5pt">
            <v:fill color2="#002060" focusposition=".5,.5" focussize="" focus="100%" type="gradientRadial"/>
            <v:textbox style="mso-next-textbox:#_x1493841471" inset="0,0,0,0">
              <w:txbxContent>
                <w:p w:rsidR="00E343FC" w:rsidRDefault="00C03C5E">
                  <w:pPr>
                    <w:pStyle w:val="a5"/>
                    <w:widowControl w:val="0"/>
                    <w:wordWrap w:val="0"/>
                    <w:spacing w:before="0" w:after="0"/>
                    <w:jc w:val="center"/>
                  </w:pPr>
                  <w:r>
                    <w:rPr>
                      <w:rFonts w:ascii="Arial"/>
                      <w:b/>
                      <w:color w:val="FFFFFF"/>
                      <w:kern w:val="1"/>
                      <w:sz w:val="20"/>
                    </w:rPr>
                    <w:t>Construction</w:t>
                  </w:r>
                </w:p>
              </w:txbxContent>
            </v:textbox>
          </v:roundrect>
        </w:pict>
      </w:r>
      <w:r w:rsidRPr="00DD308F">
        <w:rPr>
          <w:rFonts w:ascii="Arial" w:hAnsi="Arial" w:cs="Arial"/>
        </w:rPr>
        <w:pict>
          <v:roundrect id="_x1493841473" o:spid="_x0000_s1052" style="position:absolute;left:0;text-align:left;margin-left:177.25pt;margin-top:227.4pt;width:100.65pt;height:21pt;z-index:251667457;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0070c0" strokecolor="#acb9ca" strokeweight="2.5pt">
            <v:fill color2="#002060" focusposition=".5,.5" focussize="" focus="100%" type="gradientRadial"/>
            <v:textbox style="mso-next-textbox:#_x1493841473" inset="0,0,0,0">
              <w:txbxContent>
                <w:p w:rsidR="00E343FC" w:rsidRDefault="00C03C5E">
                  <w:pPr>
                    <w:pStyle w:val="a5"/>
                    <w:widowControl w:val="0"/>
                    <w:wordWrap w:val="0"/>
                    <w:spacing w:before="0" w:after="0"/>
                    <w:jc w:val="center"/>
                  </w:pPr>
                  <w:r>
                    <w:rPr>
                      <w:rFonts w:ascii="Arial"/>
                      <w:b/>
                      <w:color w:val="FFFFFF"/>
                      <w:kern w:val="1"/>
                      <w:sz w:val="20"/>
                    </w:rPr>
                    <w:t>Post-Environmental Survey Report</w:t>
                  </w:r>
                </w:p>
              </w:txbxContent>
            </v:textbox>
          </v:roundrect>
        </w:pict>
      </w:r>
      <w:r w:rsidRPr="00DD308F">
        <w:rPr>
          <w:rFonts w:ascii="Arial" w:hAnsi="Arial" w:cs="Arial"/>
        </w:rPr>
        <w:pict>
          <v:roundrect id="_x1493841475" o:spid="_x0000_s1051" style="position:absolute;left:0;text-align:left;margin-left:298.15pt;margin-top:127.55pt;width:141.75pt;height:17pt;z-index:251670529;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f4b083" stroked="f">
            <v:textbox style="mso-next-textbox:#_x1493841475" inset="0,0,0,0">
              <w:txbxContent>
                <w:p w:rsidR="0096402E" w:rsidRDefault="0096402E" w:rsidP="0096402E">
                  <w:pPr>
                    <w:pStyle w:val="a5"/>
                    <w:widowControl w:val="0"/>
                    <w:spacing w:before="0" w:after="0"/>
                    <w:jc w:val="center"/>
                  </w:pPr>
                  <w:r>
                    <w:rPr>
                      <w:rFonts w:ascii="Arial"/>
                      <w:b/>
                      <w:color w:val="833C0B"/>
                      <w:kern w:val="1"/>
                      <w:sz w:val="20"/>
                    </w:rPr>
                    <w:t>Public Consultation</w:t>
                  </w:r>
                </w:p>
                <w:p w:rsidR="00E343FC" w:rsidRDefault="00E343FC">
                  <w:pPr>
                    <w:pStyle w:val="a5"/>
                    <w:widowControl w:val="0"/>
                    <w:spacing w:before="0" w:after="0"/>
                    <w:jc w:val="center"/>
                  </w:pPr>
                </w:p>
              </w:txbxContent>
            </v:textbox>
          </v:roundrect>
        </w:pict>
      </w:r>
      <w:r w:rsidRPr="00DD308F">
        <w:rPr>
          <w:rFonts w:ascii="Arial" w:hAnsi="Arial" w:cs="Arial"/>
        </w:rPr>
        <w:pict>
          <v:roundrect id="_x1493841477" o:spid="_x0000_s1050" style="position:absolute;left:0;text-align:left;margin-left:298.15pt;margin-top:91.55pt;width:141.75pt;height:18.85pt;z-index:251669505;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f4b083" stroked="f">
            <v:textbox style="mso-next-textbox:#_x1493841477" inset="0,0,0,0">
              <w:txbxContent>
                <w:p w:rsidR="0096402E" w:rsidRDefault="0096402E" w:rsidP="0096402E">
                  <w:pPr>
                    <w:pStyle w:val="a5"/>
                    <w:widowControl w:val="0"/>
                    <w:spacing w:before="0" w:after="0"/>
                    <w:jc w:val="center"/>
                  </w:pPr>
                  <w:r>
                    <w:rPr>
                      <w:rFonts w:ascii="Arial"/>
                      <w:b/>
                      <w:color w:val="833C0B"/>
                      <w:kern w:val="1"/>
                      <w:sz w:val="20"/>
                    </w:rPr>
                    <w:t>Public Consultation</w:t>
                  </w:r>
                </w:p>
                <w:p w:rsidR="00E343FC" w:rsidRDefault="00E343FC">
                  <w:pPr>
                    <w:pStyle w:val="a5"/>
                    <w:widowControl w:val="0"/>
                    <w:spacing w:before="0" w:after="0"/>
                    <w:jc w:val="center"/>
                  </w:pPr>
                </w:p>
              </w:txbxContent>
            </v:textbox>
          </v:roundrect>
        </w:pict>
      </w:r>
      <w:r w:rsidRPr="00DD308F">
        <w:rPr>
          <w:rFonts w:ascii="Arial" w:hAnsi="Arial" w:cs="Arial"/>
        </w:rPr>
        <w:pict>
          <v:roundrect id="_x1493841483" o:spid="_x0000_s1047" style="position:absolute;left:0;text-align:left;margin-left:177.25pt;margin-top:39.25pt;width:100.65pt;height:21pt;z-index:251661313;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0070c0" strokecolor="#acb9ca" strokeweight="2.5pt">
            <v:fill color2="#002060" focusposition=".5,.5" focussize="" focus="100%" type="gradientRadial"/>
            <v:textbox style="mso-next-textbox:#_x1493841483" inset="0,0,0,0">
              <w:txbxContent>
                <w:p w:rsidR="00E343FC" w:rsidRDefault="00C03C5E">
                  <w:pPr>
                    <w:pStyle w:val="a5"/>
                    <w:widowControl w:val="0"/>
                    <w:wordWrap w:val="0"/>
                    <w:spacing w:before="0" w:after="0"/>
                    <w:jc w:val="center"/>
                  </w:pPr>
                  <w:r>
                    <w:rPr>
                      <w:rFonts w:ascii="Arial"/>
                      <w:b/>
                      <w:color w:val="FFFFFF"/>
                      <w:kern w:val="1"/>
                      <w:sz w:val="20"/>
                    </w:rPr>
                    <w:t>Scoping</w:t>
                  </w:r>
                </w:p>
              </w:txbxContent>
            </v:textbox>
          </v:roundrect>
        </w:pict>
      </w:r>
      <w:r w:rsidRPr="00DD308F">
        <w:rPr>
          <w:rFonts w:ascii="Arial" w:hAnsi="Arial" w:cs="Arial"/>
        </w:rPr>
        <w:pict>
          <v:roundrect id="_x1493841485" o:spid="_x0000_s1046" style="position:absolute;left:0;text-align:left;margin-left:177.25pt;margin-top:69.8pt;width:100.65pt;height:21pt;z-index:251662337;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0070c0" strokecolor="#acb9ca" strokeweight="2.5pt">
            <v:fill color2="#002060" focusposition=".5,.5" focussize="" focus="100%" type="gradientRadial"/>
            <v:textbox style="mso-next-textbox:#_x1493841485" inset="0,0,0,0">
              <w:txbxContent>
                <w:p w:rsidR="00E343FC" w:rsidRDefault="00C03C5E">
                  <w:pPr>
                    <w:pStyle w:val="a5"/>
                    <w:widowControl w:val="0"/>
                    <w:wordWrap w:val="0"/>
                    <w:spacing w:before="0" w:after="0"/>
                    <w:jc w:val="center"/>
                  </w:pPr>
                  <w:r>
                    <w:rPr>
                      <w:rFonts w:ascii="Arial"/>
                      <w:b/>
                      <w:color w:val="FFFFFF"/>
                      <w:kern w:val="1"/>
                      <w:sz w:val="20"/>
                    </w:rPr>
                    <w:t>Draft evaluation</w:t>
                  </w:r>
                </w:p>
              </w:txbxContent>
            </v:textbox>
          </v:roundrect>
        </w:pict>
      </w:r>
      <w:r w:rsidRPr="00DD308F">
        <w:rPr>
          <w:rFonts w:ascii="Arial" w:hAnsi="Arial" w:cs="Arial"/>
        </w:rPr>
        <w:pict>
          <v:roundrect id="_x1493841487" o:spid="_x0000_s1045" style="position:absolute;left:0;text-align:left;margin-left:177.25pt;margin-top:102.4pt;width:100.65pt;height:21pt;z-index:251663361;mso-wrap-style:square;mso-wrap-distance-left:0;mso-wrap-distance-top:0;mso-wrap-distance-right:0;mso-wrap-distance-bottom:0;mso-position-horizontal:absolute;mso-position-horizontal-relative:text;mso-position-vertical:absolute;mso-position-vertical-relative:line;v-text-anchor:middle" arcsize=".5" o:connectortype="straight" o:allowincell="f" fillcolor="#0070c0" strokecolor="#acb9ca" strokeweight="2.5pt">
            <v:fill color2="#002060" focusposition=".5,.5" focussize="" focus="100%" type="gradientRadial"/>
            <v:textbox style="mso-next-textbox:#_x1493841487" inset="0,0,0,0">
              <w:txbxContent>
                <w:p w:rsidR="0096402E" w:rsidRDefault="0096402E" w:rsidP="0096402E">
                  <w:pPr>
                    <w:pStyle w:val="a5"/>
                    <w:widowControl w:val="0"/>
                    <w:wordWrap w:val="0"/>
                    <w:spacing w:before="0" w:after="0"/>
                    <w:jc w:val="center"/>
                  </w:pPr>
                  <w:r>
                    <w:rPr>
                      <w:rFonts w:ascii="Arial"/>
                      <w:b/>
                      <w:color w:val="FFFFFF"/>
                      <w:kern w:val="1"/>
                      <w:sz w:val="20"/>
                    </w:rPr>
                    <w:t>Final</w:t>
                  </w:r>
                  <w:r>
                    <w:rPr>
                      <w:rFonts w:ascii="Arial"/>
                      <w:b/>
                      <w:color w:val="FFFFFF"/>
                      <w:kern w:val="1"/>
                      <w:sz w:val="20"/>
                    </w:rPr>
                    <w:t xml:space="preserve"> evaluation</w:t>
                  </w:r>
                </w:p>
              </w:txbxContent>
            </v:textbox>
          </v:roundrect>
        </w:pict>
      </w:r>
      <w:r w:rsidRPr="00DD308F">
        <w:rPr>
          <w:rFonts w:ascii="Arial" w:hAnsi="Arial" w:cs="Arial"/>
        </w:rPr>
        <w:pict>
          <v:polyline id="_x1493841499" o:spid="_x0000_s1044" style="position:absolute;left:0;text-align:left;z-index:251674625;mso-wrap-style:square;mso-wrap-distance-left:0;mso-wrap-distance-top:0;mso-wrap-distance-right:0;mso-wrap-distance-bottom:0;mso-position-horizontal:absolute;mso-position-horizontal-relative:text;mso-position-vertical:absolute;mso-position-vertical-relative:line;v-text-anchor:top" points="265.05pt,63.1pt,265.05pt,64.45pt,299.1pt,64.45pt,299.1pt,67.15pt,265.05pt,67.15pt,265.05pt,68.5pt,262.35pt,65.8pt,265.05pt,63.1pt" coordsize="735,108" o:connectortype="straight" o:allowincell="f" fillcolor="black" stroked="f">
            <v:fill color2="#bfbfbf" angle="-270" type="gradient"/>
          </v:polyline>
        </w:pict>
      </w:r>
      <w:r w:rsidRPr="00DD308F">
        <w:rPr>
          <w:rFonts w:ascii="Arial" w:hAnsi="Arial" w:cs="Arial"/>
        </w:rPr>
        <w:pict>
          <v:polyline id="_x1493841501" o:spid="_x0000_s1043" style="position:absolute;left:0;text-align:left;z-index:251675649;mso-wrap-style:square;mso-wrap-distance-left:0;mso-wrap-distance-top:0;mso-wrap-distance-right:0;mso-wrap-distance-bottom:0;mso-position-horizontal:absolute;mso-position-horizontal-relative:text;mso-position-vertical:absolute;mso-position-vertical-relative:line;v-text-anchor:top" points="265.25pt,96.15pt,265.25pt,97.5pt,299.3pt,97.5pt,299.3pt,100.2pt,265.25pt,100.2pt,265.25pt,101.55pt,262.55pt,98.85pt,265.25pt,96.15pt" coordsize="735,108" o:connectortype="straight" o:allowincell="f" fillcolor="black" stroked="f">
            <v:fill color2="#bfbfbf" angle="-270" type="gradient"/>
          </v:polyline>
        </w:pict>
      </w:r>
      <w:r w:rsidRPr="00DD308F">
        <w:rPr>
          <w:rFonts w:ascii="Arial" w:hAnsi="Arial" w:cs="Arial"/>
        </w:rPr>
        <w:pict>
          <v:polyline id="_x1493841503" o:spid="_x0000_s1042" style="position:absolute;left:0;text-align:left;z-index:251676673;mso-wrap-style:square;mso-wrap-distance-left:0;mso-wrap-distance-top:0;mso-wrap-distance-right:0;mso-wrap-distance-bottom:0;mso-position-horizontal:absolute;mso-position-horizontal-relative:text;mso-position-vertical:absolute;mso-position-vertical-relative:line;v-text-anchor:top" points="266.05pt,132.9pt,266.05pt,134.25pt,300.1pt,134.25pt,300.1pt,136.95pt,266.05pt,136.95pt,266.05pt,138.3pt,263.35pt,135.6pt,266.05pt,132.9pt" coordsize="735,108" o:connectortype="straight" o:allowincell="f" fillcolor="black" stroked="f">
            <v:fill color2="#bfbfbf" angle="-270" type="gradient"/>
          </v:polyline>
        </w:pict>
      </w:r>
      <w:r w:rsidRPr="00DD308F">
        <w:rPr>
          <w:rFonts w:ascii="Arial" w:hAnsi="Arial" w:cs="Arial"/>
        </w:rPr>
        <w:pict>
          <v:polyline id="_x1493841505" o:spid="_x0000_s1041" style="position:absolute;left:0;text-align:left;z-index:251677697;mso-wrap-style:square;mso-wrap-distance-left:0;mso-wrap-distance-top:0;mso-wrap-distance-right:0;mso-wrap-distance-bottom:0;mso-position-horizontal:absolute;mso-position-horizontal-relative:text;mso-position-vertical:absolute;mso-position-vertical-relative:line;v-text-anchor:top" points="150.95pt,62.95pt,150.95pt,64.3pt,185pt,64.3pt,185pt,67pt,150.95pt,67pt,150.95pt,68.35pt,148.25pt,65.65pt,150.95pt,62.95pt" coordsize="735,108" o:connectortype="straight" o:allowincell="f" fillcolor="black" stroked="f">
            <v:fill color2="#bfbfbf" angle="-270" type="gradient"/>
          </v:polyline>
        </w:pict>
      </w:r>
      <w:r w:rsidRPr="00DD308F">
        <w:rPr>
          <w:rFonts w:ascii="Arial" w:hAnsi="Arial" w:cs="Arial"/>
        </w:rPr>
        <w:pict>
          <v:polyline id="_x1493841507" o:spid="_x0000_s1040" style="position:absolute;left:0;text-align:left;z-index:251678721;mso-wrap-style:square;mso-wrap-distance-left:0;mso-wrap-distance-top:0;mso-wrap-distance-right:0;mso-wrap-distance-bottom:0;mso-position-horizontal:absolute;mso-position-horizontal-relative:text;mso-position-vertical:absolute;mso-position-vertical-relative:line;v-text-anchor:top" points="150.1pt,96pt,150.1pt,97.35pt,184.15pt,97.35pt,184.15pt,100.05pt,150.1pt,100.05pt,150.1pt,101.4pt,147.4pt,98.7pt,150.1pt,96pt" coordsize="735,108" o:connectortype="straight" o:allowincell="f" fillcolor="black" stroked="f">
            <v:fill color2="#bfbfbf" angle="-270" type="gradient"/>
          </v:polyline>
        </w:pict>
      </w:r>
      <w:r w:rsidRPr="00DD308F">
        <w:rPr>
          <w:rFonts w:ascii="Arial" w:hAnsi="Arial" w:cs="Arial"/>
        </w:rPr>
        <w:pict>
          <v:polyline id="_x1493841509" o:spid="_x0000_s1039" style="position:absolute;left:0;text-align:left;z-index:251679745;mso-wrap-style:square;mso-wrap-distance-left:0;mso-wrap-distance-top:0;mso-wrap-distance-right:0;mso-wrap-distance-bottom:0;mso-position-horizontal:absolute;mso-position-horizontal-relative:text;mso-position-vertical:absolute;mso-position-vertical-relative:line;v-text-anchor:top" points="149.85pt,132.9pt,149.85pt,134.25pt,183.9pt,134.25pt,183.9pt,136.95pt,149.85pt,136.95pt,149.85pt,138.3pt,147.15pt,135.6pt,149.85pt,132.9pt" coordsize="735,108" o:connectortype="straight" o:allowincell="f" fillcolor="black" stroked="f">
            <v:fill color2="#bfbfbf" angle="-270" type="gradient"/>
          </v:polyline>
        </w:pict>
      </w:r>
      <w:r w:rsidRPr="00DD308F">
        <w:rPr>
          <w:rFonts w:ascii="Arial" w:hAnsi="Arial" w:cs="Arial"/>
        </w:rPr>
        <w:pict>
          <v:polyline id="_x1493841511" o:spid="_x0000_s1038" style="position:absolute;left:0;text-align:left;z-index:251680769;mso-wrap-style:square;mso-wrap-distance-left:0;mso-wrap-distance-top:0;mso-wrap-distance-right:0;mso-wrap-distance-bottom:0;mso-position-horizontal:absolute;mso-position-horizontal-relative:text;mso-position-vertical:absolute;mso-position-vertical-relative:line;v-text-anchor:top" points="213.5pt,65.25pt,218.3pt,65.25pt,218.3pt,58.05pt,227.95pt,58.05pt,227.95pt,65.25pt,232.75pt,65.25pt,223.15pt,71.05pt,213.5pt,65.25pt" coordsize="385,260" o:connectortype="straight" o:allowincell="f" fillcolor="#bfbfbf" stroked="f">
            <v:fill color2="#a5a5a5" angle="-180" focus="100%" type="gradient"/>
          </v:polyline>
        </w:pict>
      </w:r>
      <w:r w:rsidRPr="00DD308F">
        <w:rPr>
          <w:rFonts w:ascii="Arial" w:hAnsi="Arial" w:cs="Arial"/>
        </w:rPr>
        <w:pict>
          <v:polyline id="_x1493841513" o:spid="_x0000_s1037" style="position:absolute;left:0;text-align:left;z-index:251681793;mso-wrap-style:square;mso-wrap-distance-left:0;mso-wrap-distance-top:0;mso-wrap-distance-right:0;mso-wrap-distance-bottom:0;mso-position-horizontal:absolute;mso-position-horizontal-relative:text;mso-position-vertical:absolute;mso-position-vertical-relative:line;v-text-anchor:top" points="213.5pt,98.35pt,218.3pt,98.35pt,218.3pt,91.15pt,227.95pt,91.15pt,227.95pt,98.35pt,232.75pt,98.35pt,223.15pt,104.15pt,213.5pt,98.35pt" coordsize="385,260" o:connectortype="straight" o:allowincell="f" fillcolor="#bfbfbf" stroked="f">
            <v:fill color2="#a5a5a5" angle="-180" focus="100%" type="gradient"/>
          </v:polyline>
        </w:pict>
      </w:r>
      <w:r w:rsidRPr="00DD308F">
        <w:rPr>
          <w:rFonts w:ascii="Arial" w:hAnsi="Arial" w:cs="Arial"/>
        </w:rPr>
        <w:pict>
          <v:polyline id="_x1493841515" o:spid="_x0000_s1036" style="position:absolute;left:0;text-align:left;z-index:251682817;mso-wrap-style:square;mso-wrap-distance-left:0;mso-wrap-distance-top:0;mso-wrap-distance-right:0;mso-wrap-distance-bottom:0;mso-position-horizontal:absolute;mso-position-horizontal-relative:text;mso-position-vertical:absolute;mso-position-vertical-relative:line;v-text-anchor:top" points="213.5pt,131.25pt,218.3pt,131.25pt,218.3pt,124.05pt,227.95pt,124.05pt,227.95pt,131.25pt,232.75pt,131.25pt,223.15pt,137.05pt,213.5pt,131.25pt" coordsize="385,260" o:connectortype="straight" o:allowincell="f" fillcolor="#bfbfbf" stroked="f">
            <v:fill color2="#a5a5a5" angle="-180" focus="100%" type="gradient"/>
          </v:polyline>
        </w:pict>
      </w:r>
      <w:r w:rsidRPr="00DD308F">
        <w:rPr>
          <w:rFonts w:ascii="Arial" w:hAnsi="Arial" w:cs="Arial"/>
        </w:rPr>
        <w:pict>
          <v:polyline id="_x1493841517" o:spid="_x0000_s1035" style="position:absolute;left:0;text-align:left;z-index:251683841;mso-wrap-style:square;mso-wrap-distance-left:0;mso-wrap-distance-top:0;mso-wrap-distance-right:0;mso-wrap-distance-bottom:0;mso-position-horizontal:absolute;mso-position-horizontal-relative:text;mso-position-vertical:absolute;mso-position-vertical-relative:line;v-text-anchor:top" points="213.4pt,187.15pt,218.2pt,187.15pt,218.2pt,179.95pt,227.85pt,179.95pt,227.85pt,187.15pt,232.65pt,187.15pt,223.05pt,192.95pt,213.4pt,187.15pt" coordsize="385,260" o:connectortype="straight" o:allowincell="f" fillcolor="#bfbfbf" stroked="f">
            <v:fill color2="#a5a5a5" angle="-180" focus="100%" type="gradient"/>
          </v:polyline>
        </w:pict>
      </w:r>
      <w:r w:rsidRPr="00DD308F">
        <w:rPr>
          <w:rFonts w:ascii="Arial" w:hAnsi="Arial" w:cs="Arial"/>
        </w:rPr>
        <w:pict>
          <v:polyline id="_x1493841519" o:spid="_x0000_s1034" style="position:absolute;left:0;text-align:left;z-index:251684865;mso-wrap-style:square;mso-wrap-distance-left:0;mso-wrap-distance-top:0;mso-wrap-distance-right:0;mso-wrap-distance-bottom:0;mso-position-horizontal:absolute;mso-position-horizontal-relative:text;mso-position-vertical:absolute;mso-position-vertical-relative:line;v-text-anchor:top" points="213.4pt,220.65pt,218.2pt,220.65pt,218.2pt,213.45pt,227.85pt,213.45pt,227.85pt,220.65pt,232.65pt,220.65pt,223.05pt,226.45pt,213.4pt,220.65pt" coordsize="385,260" o:connectortype="straight" o:allowincell="f" fillcolor="#bfbfbf" stroked="f">
            <v:fill color2="#a5a5a5" angle="-180" focus="100%" type="gradient"/>
          </v:polyline>
        </w:pict>
      </w:r>
      <w:r w:rsidRPr="00DD308F">
        <w:rPr>
          <w:rFonts w:ascii="Arial" w:hAnsi="Arial" w:cs="Arial"/>
        </w:rPr>
        <w:pict>
          <v:oval id="_x1493841521" o:spid="_x0000_s1033" style="position:absolute;left:0;text-align:left;margin-left:329.55pt;margin-top:169.35pt;width:5.25pt;height:4.55pt;z-index:251687937;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23" o:spid="_x0000_s1032" style="position:absolute;left:0;text-align:left;margin-left:405.2pt;margin-top:170.6pt;width:5.25pt;height:4.55pt;z-index:251688961;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25" o:spid="_x0000_s1031" style="position:absolute;left:0;text-align:left;margin-left:328pt;margin-top:233.75pt;width:5.25pt;height:4.55pt;z-index:251689985;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27" o:spid="_x0000_s1030" style="position:absolute;left:0;text-align:left;margin-left:407.2pt;margin-top:233.4pt;width:5.25pt;height:4.55pt;z-index:251691009;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29" o:spid="_x0000_s1029" style="position:absolute;left:0;text-align:left;margin-left:40.7pt;margin-top:169.35pt;width:5.25pt;height:4.55pt;z-index:251694081;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31" o:spid="_x0000_s1028" style="position:absolute;left:0;text-align:left;margin-left:116.35pt;margin-top:170.6pt;width:5.25pt;height:4.55pt;z-index:251695105;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33" o:spid="_x0000_s1027" style="position:absolute;left:0;text-align:left;margin-left:39.1pt;margin-top:233.75pt;width:5.25pt;height:4.55pt;z-index:251696129;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r w:rsidRPr="00DD308F">
        <w:rPr>
          <w:rFonts w:ascii="Arial" w:hAnsi="Arial" w:cs="Arial"/>
        </w:rPr>
        <w:pict>
          <v:oval id="_x1493841535" o:spid="_x0000_s1026" style="position:absolute;left:0;text-align:left;margin-left:118.35pt;margin-top:233.4pt;width:5.25pt;height:4.55pt;z-index:251697153;mso-wrap-style:square;mso-wrap-distance-left:0;mso-wrap-distance-top:0;mso-wrap-distance-right:0;mso-wrap-distance-bottom:0;mso-position-horizontal:absolute;mso-position-horizontal-relative:text;mso-position-vertical:absolute;mso-position-vertical-relative:line;v-text-anchor:top" o:connectortype="straight" o:allowincell="f" fillcolor="#8d2b50" strokecolor="#bfbfbf" strokeweight="1pt"/>
        </w:pict>
      </w:r>
    </w:p>
    <w:p w:rsidR="00E343FC" w:rsidRPr="00DD308F" w:rsidRDefault="00E343FC">
      <w:pPr>
        <w:ind w:firstLine="400"/>
        <w:rPr>
          <w:rFonts w:ascii="Arial" w:hAnsi="Arial" w:cs="Arial"/>
        </w:rPr>
      </w:pPr>
    </w:p>
    <w:p w:rsidR="00E343FC" w:rsidRPr="00DD308F" w:rsidRDefault="00E343FC">
      <w:pPr>
        <w:ind w:firstLine="400"/>
        <w:rPr>
          <w:rFonts w:ascii="Arial" w:hAnsi="Arial" w:cs="Arial"/>
        </w:rPr>
      </w:pPr>
    </w:p>
    <w:p w:rsidR="00E343FC" w:rsidRPr="00DD308F" w:rsidRDefault="00E343FC">
      <w:pPr>
        <w:ind w:firstLine="400"/>
        <w:rPr>
          <w:rFonts w:ascii="Arial" w:hAnsi="Arial" w:cs="Arial"/>
        </w:rPr>
      </w:pPr>
    </w:p>
    <w:p w:rsidR="00E343FC" w:rsidRPr="00DD308F" w:rsidRDefault="00402E61">
      <w:pPr>
        <w:ind w:firstLine="400"/>
        <w:rPr>
          <w:rFonts w:ascii="Arial" w:hAnsi="Arial" w:cs="Arial"/>
        </w:rPr>
      </w:pPr>
      <w:r w:rsidRPr="00DD308F">
        <w:rPr>
          <w:rFonts w:ascii="Arial" w:hAnsi="Arial" w:cs="Arial"/>
        </w:rPr>
        <w:pict>
          <v:roundrect id="_x1493841463" o:spid="_x0000_s1057" style="position:absolute;left:0;text-align:left;margin-left:13.55pt;margin-top:.15pt;width:141.7pt;height:29.9pt;z-index:251672577;mso-wrap-style:square;mso-wrap-distance-left:0;mso-wrap-distance-top:0;mso-wrap-distance-right:0;mso-wrap-distance-bottom:0;mso-position-horizontal-relative:text;mso-position-vertical-relative:line;v-text-anchor:middle" arcsize=".5" o:connectortype="straight" o:allowincell="f" fillcolor="#9cc2e5" stroked="f">
            <v:textbox style="mso-next-textbox:#_x1493841463" inset="0,0,0,0">
              <w:txbxContent>
                <w:p w:rsidR="00E343FC" w:rsidRPr="00D703B7" w:rsidRDefault="00402E61">
                  <w:pPr>
                    <w:pStyle w:val="a5"/>
                    <w:widowControl w:val="0"/>
                    <w:spacing w:before="0" w:after="0"/>
                    <w:jc w:val="center"/>
                    <w:rPr>
                      <w:sz w:val="22"/>
                    </w:rPr>
                  </w:pPr>
                  <w:r>
                    <w:rPr>
                      <w:rFonts w:ascii="Arial"/>
                      <w:b/>
                      <w:color w:val="1F4E79"/>
                      <w:kern w:val="1"/>
                      <w:sz w:val="18"/>
                    </w:rPr>
                    <w:t>Consultation</w:t>
                  </w:r>
                  <w:r w:rsidR="00C03C5E" w:rsidRPr="00D703B7">
                    <w:rPr>
                      <w:rFonts w:ascii="Arial"/>
                      <w:b/>
                      <w:color w:val="1F4E79"/>
                      <w:kern w:val="1"/>
                      <w:sz w:val="18"/>
                    </w:rPr>
                    <w:t xml:space="preserve"> (information sessions, public hearings)</w:t>
                  </w:r>
                </w:p>
              </w:txbxContent>
            </v:textbox>
          </v:roundrect>
        </w:pict>
      </w:r>
    </w:p>
    <w:p w:rsidR="00E343FC" w:rsidRPr="00DD308F" w:rsidRDefault="00402E61">
      <w:pPr>
        <w:ind w:firstLine="400"/>
        <w:rPr>
          <w:rFonts w:ascii="Arial" w:hAnsi="Arial" w:cs="Arial"/>
        </w:rPr>
      </w:pPr>
      <w:r w:rsidRPr="00DD308F">
        <w:rPr>
          <w:rFonts w:ascii="Arial" w:hAnsi="Arial" w:cs="Arial"/>
        </w:rPr>
        <w:pict>
          <v:roundrect id="_x1493841461" o:spid="_x0000_s1058" style="position:absolute;left:0;text-align:left;margin-left:12.85pt;margin-top:13.2pt;width:141.7pt;height:33.1pt;z-index:251673601;mso-wrap-style:square;mso-wrap-distance-left:0;mso-wrap-distance-top:0;mso-wrap-distance-right:0;mso-wrap-distance-bottom:0;mso-position-horizontal-relative:text;mso-position-vertical-relative:line;v-text-anchor:middle" arcsize=".5" o:connectortype="straight" o:allowincell="f" fillcolor="#9cc2e5" stroked="f">
            <v:textbox style="mso-next-textbox:#_x1493841461" inset="0,0,0,0">
              <w:txbxContent>
                <w:p w:rsidR="00E343FC" w:rsidRPr="006E087C" w:rsidRDefault="006E087C">
                  <w:pPr>
                    <w:pStyle w:val="a5"/>
                    <w:widowControl w:val="0"/>
                    <w:spacing w:before="0" w:after="0"/>
                    <w:jc w:val="center"/>
                    <w:rPr>
                      <w:sz w:val="18"/>
                    </w:rPr>
                  </w:pPr>
                  <w:r>
                    <w:rPr>
                      <w:rFonts w:ascii="Arial"/>
                      <w:b/>
                      <w:color w:val="1F4E79"/>
                      <w:kern w:val="1"/>
                      <w:sz w:val="14"/>
                    </w:rPr>
                    <w:t>P</w:t>
                  </w:r>
                  <w:r w:rsidR="00C03C5E" w:rsidRPr="006E087C">
                    <w:rPr>
                      <w:rFonts w:ascii="Arial"/>
                      <w:b/>
                      <w:color w:val="1F4E79"/>
                      <w:kern w:val="1"/>
                      <w:sz w:val="14"/>
                    </w:rPr>
                    <w:t xml:space="preserve">ublic consultation, consultation </w:t>
                  </w:r>
                  <w:r>
                    <w:rPr>
                      <w:rFonts w:ascii="Arial"/>
                      <w:b/>
                      <w:color w:val="1F4E79"/>
                      <w:kern w:val="1"/>
                      <w:sz w:val="14"/>
                    </w:rPr>
                    <w:t>By</w:t>
                  </w:r>
                  <w:r w:rsidR="00C03C5E" w:rsidRPr="006E087C">
                    <w:rPr>
                      <w:rFonts w:ascii="Arial"/>
                      <w:b/>
                      <w:color w:val="1F4E79"/>
                      <w:kern w:val="1"/>
                      <w:sz w:val="14"/>
                    </w:rPr>
                    <w:t xml:space="preserve"> the Ministry of Environment</w:t>
                  </w:r>
                </w:p>
              </w:txbxContent>
            </v:textbox>
          </v:roundrect>
        </w:pict>
      </w:r>
    </w:p>
    <w:p w:rsidR="00E343FC" w:rsidRPr="00DD308F" w:rsidRDefault="00E343FC">
      <w:pPr>
        <w:ind w:firstLine="400"/>
        <w:rPr>
          <w:rFonts w:ascii="Arial" w:hAnsi="Arial" w:cs="Arial"/>
        </w:rPr>
      </w:pPr>
    </w:p>
    <w:p w:rsidR="00E343FC" w:rsidRPr="00DD308F" w:rsidRDefault="00E343FC">
      <w:pPr>
        <w:ind w:firstLine="400"/>
        <w:rPr>
          <w:rFonts w:ascii="Arial" w:hAnsi="Arial" w:cs="Arial"/>
        </w:rPr>
      </w:pPr>
    </w:p>
    <w:p w:rsidR="00E343FC" w:rsidRPr="00DD308F" w:rsidRDefault="00E343FC">
      <w:pPr>
        <w:ind w:firstLine="400"/>
        <w:rPr>
          <w:rFonts w:ascii="Arial" w:hAnsi="Arial" w:cs="Arial"/>
        </w:rPr>
      </w:pPr>
    </w:p>
    <w:p w:rsidR="00E343FC" w:rsidRDefault="00E343FC">
      <w:pPr>
        <w:rPr>
          <w:rFonts w:ascii="Arial" w:hAnsi="Arial" w:cs="Arial"/>
        </w:rPr>
      </w:pPr>
    </w:p>
    <w:p w:rsidR="00402E61" w:rsidRDefault="00402E61">
      <w:pPr>
        <w:rPr>
          <w:rFonts w:ascii="Arial" w:hAnsi="Arial" w:cs="Arial"/>
        </w:rPr>
      </w:pPr>
    </w:p>
    <w:p w:rsidR="00402E61" w:rsidRDefault="00402E61">
      <w:pPr>
        <w:rPr>
          <w:rFonts w:ascii="Arial" w:hAnsi="Arial" w:cs="Arial"/>
        </w:rPr>
      </w:pPr>
    </w:p>
    <w:p w:rsidR="00402E61" w:rsidRDefault="00402E61">
      <w:pPr>
        <w:rPr>
          <w:rFonts w:ascii="Arial" w:hAnsi="Arial" w:cs="Arial"/>
        </w:rPr>
      </w:pPr>
    </w:p>
    <w:p w:rsidR="00402E61" w:rsidRDefault="00402E61">
      <w:pPr>
        <w:rPr>
          <w:rFonts w:ascii="Arial" w:hAnsi="Arial" w:cs="Arial"/>
        </w:rPr>
      </w:pPr>
    </w:p>
    <w:p w:rsidR="00402E61" w:rsidRPr="00DD308F" w:rsidRDefault="00402E61">
      <w:pPr>
        <w:rPr>
          <w:rFonts w:ascii="Arial" w:hAnsi="Arial" w:cs="Arial" w:hint="eastAsia"/>
        </w:rPr>
      </w:pP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rPr>
      </w:pPr>
      <w:r w:rsidRPr="00DD308F">
        <w:rPr>
          <w:rFonts w:ascii="Arial" w:hAnsi="Arial" w:cs="Arial"/>
        </w:rPr>
        <w:lastRenderedPageBreak/>
        <w:t>3.4 Establishing environmental and social policies and technical standards for K-water's overseas operations</w:t>
      </w:r>
    </w:p>
    <w:p w:rsidR="00E343FC" w:rsidRPr="00DD308F" w:rsidRDefault="00C03C5E">
      <w:pPr>
        <w:pStyle w:val="a4"/>
        <w:rPr>
          <w:rFonts w:ascii="Arial" w:hAnsi="Arial" w:cs="Arial"/>
        </w:rPr>
      </w:pPr>
      <w:r w:rsidRPr="00DD308F">
        <w:rPr>
          <w:rFonts w:ascii="Arial" w:hAnsi="Arial" w:cs="Arial"/>
        </w:rPr>
        <w:t xml:space="preserve">K-water has established </w:t>
      </w:r>
      <w:r w:rsidR="00467F29" w:rsidRPr="00DD308F">
        <w:rPr>
          <w:rFonts w:ascii="Arial" w:hAnsi="Arial" w:cs="Arial"/>
        </w:rPr>
        <w:t>frameworks</w:t>
      </w:r>
      <w:r w:rsidRPr="00DD308F">
        <w:rPr>
          <w:rFonts w:ascii="Arial" w:hAnsi="Arial" w:cs="Arial"/>
        </w:rPr>
        <w:t xml:space="preserve"> for the environmental and social aspects of overseas </w:t>
      </w:r>
      <w:r w:rsidR="00EB2CBC" w:rsidRPr="00DD308F">
        <w:rPr>
          <w:rFonts w:ascii="Arial" w:hAnsi="Arial" w:cs="Arial"/>
        </w:rPr>
        <w:t>project</w:t>
      </w:r>
      <w:r w:rsidRPr="00DD308F">
        <w:rPr>
          <w:rFonts w:ascii="Arial" w:hAnsi="Arial" w:cs="Arial"/>
        </w:rPr>
        <w:t xml:space="preserve">. Table 6 shows the matters to be reviewed at each stage of overseas </w:t>
      </w:r>
      <w:r w:rsidR="00EB2CBC" w:rsidRPr="00DD308F">
        <w:rPr>
          <w:rFonts w:ascii="Arial" w:hAnsi="Arial" w:cs="Arial"/>
        </w:rPr>
        <w:t>project</w:t>
      </w:r>
      <w:r w:rsidRPr="00DD308F">
        <w:rPr>
          <w:rFonts w:ascii="Arial" w:hAnsi="Arial" w:cs="Arial"/>
        </w:rPr>
        <w:t xml:space="preserve"> implementation, and the appendix establishes the detailed review scope and procedures for each stage for K-water's overseas projects of dam construction, solar power, water supply, and urban development. These standards were </w:t>
      </w:r>
      <w:r w:rsidR="00283598" w:rsidRPr="00DD308F">
        <w:rPr>
          <w:rFonts w:ascii="Arial" w:hAnsi="Arial" w:cs="Arial"/>
        </w:rPr>
        <w:t xml:space="preserve">enacted within K-water </w:t>
      </w:r>
      <w:r w:rsidRPr="00DD308F">
        <w:rPr>
          <w:rFonts w:ascii="Arial" w:hAnsi="Arial" w:cs="Arial"/>
        </w:rPr>
        <w:t>in September 2023 and are applied to overseas investment projects implemented by K-water</w:t>
      </w:r>
      <w:r w:rsidR="00283598" w:rsidRPr="00DD308F">
        <w:rPr>
          <w:rFonts w:ascii="Arial" w:hAnsi="Arial" w:cs="Arial"/>
        </w:rPr>
        <w:t>.</w:t>
      </w:r>
      <w:r w:rsidRPr="00DD308F">
        <w:rPr>
          <w:rFonts w:ascii="Arial" w:hAnsi="Arial" w:cs="Arial"/>
        </w:rPr>
        <w:t xml:space="preserve"> </w:t>
      </w:r>
      <w:r w:rsidR="00283598" w:rsidRPr="00DD308F">
        <w:rPr>
          <w:rFonts w:ascii="Arial" w:hAnsi="Arial" w:cs="Arial"/>
        </w:rPr>
        <w:t>A</w:t>
      </w:r>
      <w:r w:rsidRPr="00DD308F">
        <w:rPr>
          <w:rFonts w:ascii="Arial" w:hAnsi="Arial" w:cs="Arial"/>
        </w:rPr>
        <w:t xml:space="preserve">nd in the case of ODA projects, </w:t>
      </w:r>
      <w:r w:rsidR="00283598" w:rsidRPr="00DD308F">
        <w:rPr>
          <w:rFonts w:ascii="Arial" w:hAnsi="Arial" w:cs="Arial"/>
        </w:rPr>
        <w:t>frameworks</w:t>
      </w:r>
      <w:r w:rsidRPr="00DD308F">
        <w:rPr>
          <w:rFonts w:ascii="Arial" w:hAnsi="Arial" w:cs="Arial"/>
        </w:rPr>
        <w:t xml:space="preserve"> are applied in accordance with the pre-feasibility study stage. In addition, technical </w:t>
      </w:r>
      <w:r w:rsidR="00283598" w:rsidRPr="00DD308F">
        <w:rPr>
          <w:rFonts w:ascii="Arial" w:hAnsi="Arial" w:cs="Arial"/>
        </w:rPr>
        <w:t>guidelines</w:t>
      </w:r>
      <w:r w:rsidRPr="00DD308F">
        <w:rPr>
          <w:rFonts w:ascii="Arial" w:hAnsi="Arial" w:cs="Arial"/>
        </w:rPr>
        <w:t xml:space="preserve"> have been established, stipulating detailed technical standards and methodologies to be used for environmental social risk management.</w:t>
      </w:r>
    </w:p>
    <w:p w:rsidR="00095F9A" w:rsidRPr="00DD308F" w:rsidRDefault="00095F9A">
      <w:pPr>
        <w:pStyle w:val="a4"/>
        <w:rPr>
          <w:rFonts w:ascii="Arial" w:hAnsi="Arial" w:cs="Arial"/>
        </w:rPr>
      </w:pPr>
    </w:p>
    <w:p w:rsidR="00E343FC" w:rsidRPr="00DD308F" w:rsidRDefault="00C03C5E">
      <w:pPr>
        <w:rPr>
          <w:rFonts w:ascii="Arial" w:hAnsi="Arial" w:cs="Arial"/>
        </w:rPr>
      </w:pPr>
      <w:r w:rsidRPr="00DD308F">
        <w:rPr>
          <w:rFonts w:ascii="Arial" w:hAnsi="Arial" w:cs="Arial"/>
        </w:rPr>
        <w:t xml:space="preserve">&lt;Table 6&gt; Overview of K-water's environmental and social </w:t>
      </w:r>
      <w:r w:rsidR="00095F9A" w:rsidRPr="00DD308F">
        <w:rPr>
          <w:rFonts w:ascii="Arial" w:hAnsi="Arial" w:cs="Arial"/>
        </w:rPr>
        <w:t>frameworks</w:t>
      </w:r>
      <w:r w:rsidRPr="00DD308F">
        <w:rPr>
          <w:rFonts w:ascii="Arial" w:hAnsi="Arial" w:cs="Arial"/>
        </w:rPr>
        <w:t xml:space="preserve"> for overseas </w:t>
      </w:r>
      <w:r w:rsidR="00095F9A" w:rsidRPr="00DD308F">
        <w:rPr>
          <w:rFonts w:ascii="Arial" w:hAnsi="Arial" w:cs="Arial"/>
        </w:rPr>
        <w:t>projects</w:t>
      </w:r>
    </w:p>
    <w:tbl>
      <w:tblPr>
        <w:tblOverlap w:val="never"/>
        <w:tblW w:w="9026"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970"/>
        <w:gridCol w:w="4638"/>
        <w:gridCol w:w="2418"/>
      </w:tblGrid>
      <w:tr w:rsidR="00E343FC" w:rsidRPr="00DD308F">
        <w:trPr>
          <w:trHeight w:val="353"/>
        </w:trPr>
        <w:tc>
          <w:tcPr>
            <w:tcW w:w="1970" w:type="dxa"/>
            <w:tcBorders>
              <w:top w:val="single" w:sz="2" w:space="0" w:color="000000"/>
              <w:left w:val="none" w:sz="2" w:space="0" w:color="000000"/>
              <w:bottom w:val="double" w:sz="5" w:space="0" w:color="000000"/>
              <w:right w:val="single" w:sz="2" w:space="0" w:color="000000"/>
            </w:tcBorders>
            <w:shd w:val="clear" w:color="auto" w:fill="DFE6F7"/>
            <w:tcMar>
              <w:top w:w="28" w:type="dxa"/>
              <w:left w:w="102" w:type="dxa"/>
              <w:bottom w:w="28" w:type="dxa"/>
              <w:right w:w="102" w:type="dxa"/>
            </w:tcMar>
            <w:vAlign w:val="center"/>
          </w:tcPr>
          <w:p w:rsidR="00E343FC" w:rsidRPr="00DD308F" w:rsidRDefault="00C03C5E">
            <w:pPr>
              <w:pStyle w:val="a4"/>
              <w:rPr>
                <w:rFonts w:ascii="Arial" w:hAnsi="Arial" w:cs="Arial"/>
              </w:rPr>
            </w:pPr>
            <w:r w:rsidRPr="00DD308F">
              <w:rPr>
                <w:rFonts w:ascii="Arial" w:hAnsi="Arial" w:cs="Arial"/>
              </w:rPr>
              <w:t>stage</w:t>
            </w:r>
          </w:p>
        </w:tc>
        <w:tc>
          <w:tcPr>
            <w:tcW w:w="4638" w:type="dxa"/>
            <w:tcBorders>
              <w:top w:val="single" w:sz="2" w:space="0" w:color="000000"/>
              <w:left w:val="single" w:sz="2" w:space="0" w:color="000000"/>
              <w:bottom w:val="double" w:sz="5" w:space="0" w:color="000000"/>
              <w:right w:val="single" w:sz="2" w:space="0" w:color="000000"/>
            </w:tcBorders>
            <w:shd w:val="clear" w:color="auto" w:fill="DFE6F7"/>
            <w:tcMar>
              <w:top w:w="28" w:type="dxa"/>
              <w:left w:w="102" w:type="dxa"/>
              <w:bottom w:w="28" w:type="dxa"/>
              <w:right w:w="102" w:type="dxa"/>
            </w:tcMar>
            <w:vAlign w:val="center"/>
          </w:tcPr>
          <w:p w:rsidR="00E343FC" w:rsidRPr="00DD308F" w:rsidRDefault="00C03C5E">
            <w:pPr>
              <w:pStyle w:val="a4"/>
              <w:rPr>
                <w:rFonts w:ascii="Arial" w:hAnsi="Arial" w:cs="Arial"/>
              </w:rPr>
            </w:pPr>
            <w:r w:rsidRPr="00DD308F">
              <w:rPr>
                <w:rFonts w:ascii="Arial" w:hAnsi="Arial" w:cs="Arial"/>
              </w:rPr>
              <w:t>Key scope of review</w:t>
            </w:r>
          </w:p>
        </w:tc>
        <w:tc>
          <w:tcPr>
            <w:tcW w:w="2418" w:type="dxa"/>
            <w:tcBorders>
              <w:top w:val="single" w:sz="2" w:space="0" w:color="000000"/>
              <w:left w:val="single" w:sz="2" w:space="0" w:color="000000"/>
              <w:bottom w:val="double" w:sz="5" w:space="0" w:color="000000"/>
              <w:right w:val="none" w:sz="2" w:space="0" w:color="000000"/>
            </w:tcBorders>
            <w:shd w:val="clear" w:color="auto" w:fill="DFE6F7"/>
            <w:tcMar>
              <w:top w:w="28" w:type="dxa"/>
              <w:left w:w="102" w:type="dxa"/>
              <w:bottom w:w="28" w:type="dxa"/>
              <w:right w:w="102" w:type="dxa"/>
            </w:tcMar>
            <w:vAlign w:val="center"/>
          </w:tcPr>
          <w:p w:rsidR="00E343FC" w:rsidRPr="00DD308F" w:rsidRDefault="00570EF5">
            <w:pPr>
              <w:pStyle w:val="a4"/>
              <w:rPr>
                <w:rFonts w:ascii="Arial" w:hAnsi="Arial" w:cs="Arial"/>
              </w:rPr>
            </w:pPr>
            <w:r w:rsidRPr="00DD308F">
              <w:rPr>
                <w:rFonts w:ascii="Arial" w:hAnsi="Arial" w:cs="Arial"/>
              </w:rPr>
              <w:t>Methods</w:t>
            </w:r>
          </w:p>
        </w:tc>
      </w:tr>
      <w:tr w:rsidR="00E343FC" w:rsidRPr="00DD308F">
        <w:trPr>
          <w:trHeight w:val="619"/>
        </w:trPr>
        <w:tc>
          <w:tcPr>
            <w:tcW w:w="1970" w:type="dxa"/>
            <w:tcBorders>
              <w:top w:val="double" w:sz="5"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proposal stage</w:t>
            </w:r>
          </w:p>
          <w:p w:rsidR="00E343FC" w:rsidRPr="00DD308F" w:rsidRDefault="00C03C5E" w:rsidP="006F12A6">
            <w:pPr>
              <w:pStyle w:val="a4"/>
              <w:jc w:val="left"/>
              <w:rPr>
                <w:rFonts w:ascii="Arial" w:hAnsi="Arial" w:cs="Arial"/>
              </w:rPr>
            </w:pPr>
            <w:r w:rsidRPr="00DD308F">
              <w:rPr>
                <w:rFonts w:ascii="Arial" w:hAnsi="Arial" w:cs="Arial"/>
              </w:rPr>
              <w:t>(Sections 5 to 7)</w:t>
            </w:r>
          </w:p>
        </w:tc>
        <w:tc>
          <w:tcPr>
            <w:tcW w:w="4638" w:type="dxa"/>
            <w:tcBorders>
              <w:top w:val="double" w:sz="5"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 xml:space="preserve">Reviewed in line with the four priority areas of the IFC Performance Standards (Indigenous Peoples, Cultural Heritage, Biodiversity, and Land </w:t>
            </w:r>
            <w:r w:rsidR="001808D3" w:rsidRPr="00DD308F">
              <w:rPr>
                <w:rFonts w:ascii="Arial" w:hAnsi="Arial" w:cs="Arial"/>
              </w:rPr>
              <w:t>acquisition</w:t>
            </w:r>
            <w:r w:rsidRPr="00DD308F">
              <w:rPr>
                <w:rFonts w:ascii="Arial" w:hAnsi="Arial" w:cs="Arial"/>
              </w:rPr>
              <w:t>)</w:t>
            </w:r>
          </w:p>
        </w:tc>
        <w:tc>
          <w:tcPr>
            <w:tcW w:w="2418" w:type="dxa"/>
            <w:tcBorders>
              <w:top w:val="double" w:sz="5"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Data research, satellite image analysis, etc.</w:t>
            </w:r>
          </w:p>
          <w:p w:rsidR="00E343FC" w:rsidRPr="00DD308F" w:rsidRDefault="001808D3" w:rsidP="00CF6920">
            <w:pPr>
              <w:pStyle w:val="a4"/>
              <w:jc w:val="left"/>
              <w:rPr>
                <w:rFonts w:ascii="Arial" w:hAnsi="Arial" w:cs="Arial"/>
              </w:rPr>
            </w:pPr>
            <w:r w:rsidRPr="00DD308F">
              <w:rPr>
                <w:rFonts w:ascii="Arial" w:hAnsi="Arial" w:cs="Arial"/>
              </w:rPr>
              <w:t>Due diligence</w:t>
            </w:r>
            <w:r w:rsidR="00C03C5E" w:rsidRPr="00DD308F">
              <w:rPr>
                <w:rFonts w:ascii="Arial" w:hAnsi="Arial" w:cs="Arial"/>
              </w:rPr>
              <w:t xml:space="preserve"> as required</w:t>
            </w:r>
          </w:p>
        </w:tc>
      </w:tr>
      <w:tr w:rsidR="00E343FC" w:rsidRPr="00DD308F">
        <w:trPr>
          <w:trHeight w:val="619"/>
        </w:trPr>
        <w:tc>
          <w:tcPr>
            <w:tcW w:w="1970" w:type="dxa"/>
            <w:tcBorders>
              <w:top w:val="single" w:sz="2"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Pre-feasibility studies</w:t>
            </w:r>
          </w:p>
          <w:p w:rsidR="00E343FC" w:rsidRPr="00DD308F" w:rsidRDefault="00C03C5E" w:rsidP="006F12A6">
            <w:pPr>
              <w:pStyle w:val="a4"/>
              <w:jc w:val="left"/>
              <w:rPr>
                <w:rFonts w:ascii="Arial" w:hAnsi="Arial" w:cs="Arial"/>
              </w:rPr>
            </w:pPr>
            <w:r w:rsidRPr="00DD308F">
              <w:rPr>
                <w:rFonts w:ascii="Arial" w:hAnsi="Arial" w:cs="Arial"/>
              </w:rPr>
              <w:t>(Sections 8 to 10)</w:t>
            </w:r>
          </w:p>
        </w:tc>
        <w:tc>
          <w:tcPr>
            <w:tcW w:w="4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 xml:space="preserve">Review of environmental and social impacts (8 </w:t>
            </w:r>
            <w:r w:rsidR="001808D3" w:rsidRPr="00DD308F">
              <w:rPr>
                <w:rFonts w:ascii="Arial" w:hAnsi="Arial" w:cs="Arial"/>
              </w:rPr>
              <w:t>categories</w:t>
            </w:r>
            <w:r w:rsidRPr="00DD308F">
              <w:rPr>
                <w:rFonts w:ascii="Arial" w:hAnsi="Arial" w:cs="Arial"/>
              </w:rPr>
              <w:t>) during the Pre- Feasibility Study</w:t>
            </w:r>
          </w:p>
        </w:tc>
        <w:tc>
          <w:tcPr>
            <w:tcW w:w="2418" w:type="dxa"/>
            <w:tcBorders>
              <w:top w:val="single" w:sz="2"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Use advice (or services)</w:t>
            </w:r>
          </w:p>
          <w:p w:rsidR="00E343FC" w:rsidRPr="00DD308F" w:rsidRDefault="00C03C5E" w:rsidP="00CF6920">
            <w:pPr>
              <w:pStyle w:val="a4"/>
              <w:jc w:val="left"/>
              <w:rPr>
                <w:rFonts w:ascii="Arial" w:hAnsi="Arial" w:cs="Arial"/>
              </w:rPr>
            </w:pPr>
            <w:r w:rsidRPr="00DD308F">
              <w:rPr>
                <w:rFonts w:ascii="Arial" w:hAnsi="Arial" w:cs="Arial"/>
              </w:rPr>
              <w:t>Can be done directly</w:t>
            </w:r>
          </w:p>
        </w:tc>
      </w:tr>
      <w:tr w:rsidR="00E343FC" w:rsidRPr="00DD308F">
        <w:trPr>
          <w:trHeight w:val="619"/>
        </w:trPr>
        <w:tc>
          <w:tcPr>
            <w:tcW w:w="1970" w:type="dxa"/>
            <w:tcBorders>
              <w:top w:val="single" w:sz="2"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Feasibility studies</w:t>
            </w:r>
          </w:p>
          <w:p w:rsidR="00E343FC" w:rsidRPr="00DD308F" w:rsidRDefault="00C03C5E" w:rsidP="006F12A6">
            <w:pPr>
              <w:pStyle w:val="a4"/>
              <w:jc w:val="left"/>
              <w:rPr>
                <w:rFonts w:ascii="Arial" w:hAnsi="Arial" w:cs="Arial"/>
              </w:rPr>
            </w:pPr>
            <w:r w:rsidRPr="00DD308F">
              <w:rPr>
                <w:rFonts w:ascii="Arial" w:hAnsi="Arial" w:cs="Arial"/>
              </w:rPr>
              <w:t>(Articles 11 to 13)</w:t>
            </w:r>
          </w:p>
        </w:tc>
        <w:tc>
          <w:tcPr>
            <w:tcW w:w="4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Feasibility study to assess environmental and social impacts and establish direction for mitigation measures</w:t>
            </w:r>
          </w:p>
        </w:tc>
        <w:tc>
          <w:tcPr>
            <w:tcW w:w="2418" w:type="dxa"/>
            <w:tcBorders>
              <w:top w:val="single" w:sz="2"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Use advice (or services)</w:t>
            </w:r>
          </w:p>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Public consultation</w:t>
            </w:r>
          </w:p>
        </w:tc>
      </w:tr>
      <w:tr w:rsidR="00E343FC" w:rsidRPr="00DD308F">
        <w:trPr>
          <w:trHeight w:val="906"/>
        </w:trPr>
        <w:tc>
          <w:tcPr>
            <w:tcW w:w="1970" w:type="dxa"/>
            <w:tcBorders>
              <w:top w:val="single" w:sz="2"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Environmental and social impact assessment</w:t>
            </w:r>
          </w:p>
          <w:p w:rsidR="00E343FC" w:rsidRPr="00DD308F" w:rsidRDefault="00C03C5E" w:rsidP="006F12A6">
            <w:pPr>
              <w:pStyle w:val="a4"/>
              <w:jc w:val="left"/>
              <w:rPr>
                <w:rFonts w:ascii="Arial" w:hAnsi="Arial" w:cs="Arial"/>
              </w:rPr>
            </w:pPr>
            <w:r w:rsidRPr="00DD308F">
              <w:rPr>
                <w:rFonts w:ascii="Arial" w:hAnsi="Arial" w:cs="Arial"/>
              </w:rPr>
              <w:t>(Articles 14 to 18)</w:t>
            </w:r>
          </w:p>
        </w:tc>
        <w:tc>
          <w:tcPr>
            <w:tcW w:w="4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 xml:space="preserve">Receipt of </w:t>
            </w:r>
            <w:proofErr w:type="spellStart"/>
            <w:r w:rsidRPr="00DD308F">
              <w:rPr>
                <w:rFonts w:ascii="Arial" w:hAnsi="Arial" w:cs="Arial"/>
              </w:rPr>
              <w:t>ToRs</w:t>
            </w:r>
            <w:proofErr w:type="spellEnd"/>
            <w:r w:rsidRPr="00DD308F">
              <w:rPr>
                <w:rFonts w:ascii="Arial" w:hAnsi="Arial" w:cs="Arial"/>
              </w:rPr>
              <w:t xml:space="preserve"> from MDBs based on feasibility study findings</w:t>
            </w:r>
          </w:p>
          <w:p w:rsidR="00E343FC" w:rsidRPr="00DD308F" w:rsidRDefault="00C03C5E" w:rsidP="00CF6920">
            <w:pPr>
              <w:pStyle w:val="a4"/>
              <w:jc w:val="left"/>
              <w:rPr>
                <w:rFonts w:ascii="Arial" w:hAnsi="Arial" w:cs="Arial"/>
              </w:rPr>
            </w:pPr>
            <w:r w:rsidRPr="00DD308F">
              <w:rPr>
                <w:rFonts w:ascii="Arial" w:hAnsi="Arial" w:cs="Arial"/>
              </w:rPr>
              <w:t>Implement ESIAs and develop mitigation and management plans</w:t>
            </w:r>
          </w:p>
          <w:p w:rsidR="00E343FC" w:rsidRPr="00DD308F" w:rsidRDefault="00C03C5E" w:rsidP="00CF6920">
            <w:pPr>
              <w:pStyle w:val="a4"/>
              <w:jc w:val="left"/>
              <w:rPr>
                <w:rFonts w:ascii="Arial" w:hAnsi="Arial" w:cs="Arial"/>
              </w:rPr>
            </w:pPr>
            <w:r w:rsidRPr="00DD308F">
              <w:rPr>
                <w:rFonts w:ascii="Arial" w:hAnsi="Arial" w:cs="Arial"/>
              </w:rPr>
              <w:t>Establishing the employer's ESMP and deriving the EPC's list of ESMPs</w:t>
            </w:r>
          </w:p>
        </w:tc>
        <w:tc>
          <w:tcPr>
            <w:tcW w:w="2418" w:type="dxa"/>
            <w:tcBorders>
              <w:top w:val="single" w:sz="2"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Use advice (or services)</w:t>
            </w:r>
          </w:p>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Parallel negotiations with MDBs</w:t>
            </w:r>
          </w:p>
        </w:tc>
      </w:tr>
      <w:tr w:rsidR="00E343FC" w:rsidRPr="00DD308F">
        <w:trPr>
          <w:trHeight w:val="619"/>
        </w:trPr>
        <w:tc>
          <w:tcPr>
            <w:tcW w:w="1970" w:type="dxa"/>
            <w:tcBorders>
              <w:top w:val="single" w:sz="2"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Implement and manage the construction phase</w:t>
            </w:r>
          </w:p>
          <w:p w:rsidR="00E343FC" w:rsidRPr="00DD308F" w:rsidRDefault="00C03C5E" w:rsidP="006F12A6">
            <w:pPr>
              <w:pStyle w:val="a4"/>
              <w:jc w:val="left"/>
              <w:rPr>
                <w:rFonts w:ascii="Arial" w:hAnsi="Arial" w:cs="Arial"/>
              </w:rPr>
            </w:pPr>
            <w:r w:rsidRPr="00DD308F">
              <w:rPr>
                <w:rFonts w:ascii="Arial" w:hAnsi="Arial" w:cs="Arial"/>
              </w:rPr>
              <w:t>(Articles 19 to 22)</w:t>
            </w:r>
          </w:p>
        </w:tc>
        <w:tc>
          <w:tcPr>
            <w:tcW w:w="4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Arial" w:hAnsi="Arial" w:cs="Arial"/>
              </w:rPr>
              <w:t>Receive and supervise ESMPs for EPC construction works</w:t>
            </w:r>
          </w:p>
          <w:p w:rsidR="00E343FC" w:rsidRPr="00DD308F" w:rsidRDefault="00C03C5E" w:rsidP="00CF6920">
            <w:pPr>
              <w:pStyle w:val="a4"/>
              <w:jc w:val="left"/>
              <w:rPr>
                <w:rFonts w:ascii="Arial" w:hAnsi="Arial" w:cs="Arial"/>
              </w:rPr>
            </w:pPr>
            <w:r w:rsidRPr="00DD308F">
              <w:rPr>
                <w:rFonts w:ascii="Arial" w:hAnsi="Arial" w:cs="Arial"/>
              </w:rPr>
              <w:t>Manage and improve owner and EPC performance</w:t>
            </w:r>
          </w:p>
        </w:tc>
        <w:tc>
          <w:tcPr>
            <w:tcW w:w="2418" w:type="dxa"/>
            <w:tcBorders>
              <w:top w:val="single" w:sz="2"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1808D3"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Use consultancy (or services)</w:t>
            </w:r>
            <w:r w:rsidR="001808D3" w:rsidRPr="00DD308F">
              <w:rPr>
                <w:rFonts w:ascii="Arial" w:hAnsi="Arial" w:cs="Arial"/>
              </w:rPr>
              <w:t xml:space="preserve"> or</w:t>
            </w:r>
          </w:p>
          <w:p w:rsidR="00E343FC" w:rsidRPr="00DD308F" w:rsidRDefault="001808D3" w:rsidP="00CF6920">
            <w:pPr>
              <w:pStyle w:val="a4"/>
              <w:jc w:val="left"/>
              <w:rPr>
                <w:rFonts w:ascii="Arial" w:hAnsi="Arial" w:cs="Arial"/>
              </w:rPr>
            </w:pPr>
            <w:r w:rsidRPr="00DD308F">
              <w:rPr>
                <w:rFonts w:ascii="Arial" w:hAnsi="Arial" w:cs="Arial"/>
              </w:rPr>
              <w:t>c</w:t>
            </w:r>
            <w:r w:rsidRPr="00DD308F">
              <w:rPr>
                <w:rFonts w:ascii="Arial" w:hAnsi="Arial" w:cs="Arial"/>
              </w:rPr>
              <w:t>an be done directly</w:t>
            </w:r>
          </w:p>
        </w:tc>
      </w:tr>
      <w:tr w:rsidR="00E343FC" w:rsidRPr="00DD308F">
        <w:trPr>
          <w:trHeight w:val="619"/>
        </w:trPr>
        <w:tc>
          <w:tcPr>
            <w:tcW w:w="1970" w:type="dxa"/>
            <w:tcBorders>
              <w:top w:val="single" w:sz="2" w:space="0" w:color="000000"/>
              <w:left w:val="non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6F12A6">
            <w:pPr>
              <w:pStyle w:val="a4"/>
              <w:jc w:val="left"/>
              <w:rPr>
                <w:rFonts w:ascii="Arial" w:hAnsi="Arial" w:cs="Arial"/>
              </w:rPr>
            </w:pPr>
            <w:r w:rsidRPr="00DD308F">
              <w:rPr>
                <w:rFonts w:ascii="Arial" w:hAnsi="Arial" w:cs="Arial"/>
              </w:rPr>
              <w:t>Operational phase implementation and management</w:t>
            </w:r>
          </w:p>
          <w:p w:rsidR="00E343FC" w:rsidRPr="00DD308F" w:rsidRDefault="00C03C5E" w:rsidP="006F12A6">
            <w:pPr>
              <w:pStyle w:val="a4"/>
              <w:jc w:val="left"/>
              <w:rPr>
                <w:rFonts w:ascii="Arial" w:hAnsi="Arial" w:cs="Arial"/>
              </w:rPr>
            </w:pPr>
            <w:r w:rsidRPr="00DD308F">
              <w:rPr>
                <w:rFonts w:ascii="Arial" w:hAnsi="Arial" w:cs="Arial"/>
              </w:rPr>
              <w:t>(</w:t>
            </w:r>
            <w:r w:rsidR="00441B46" w:rsidRPr="00DD308F">
              <w:rPr>
                <w:rFonts w:ascii="Arial" w:hAnsi="Arial" w:cs="Arial"/>
              </w:rPr>
              <w:t>Articles</w:t>
            </w:r>
            <w:r w:rsidRPr="00DD308F">
              <w:rPr>
                <w:rFonts w:ascii="Arial" w:hAnsi="Arial" w:cs="Arial"/>
              </w:rPr>
              <w:t xml:space="preserve"> 23 and 24)</w:t>
            </w:r>
          </w:p>
        </w:tc>
        <w:tc>
          <w:tcPr>
            <w:tcW w:w="4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Improve ESMP implementation and management in operations</w:t>
            </w:r>
          </w:p>
          <w:p w:rsidR="00E343FC" w:rsidRPr="00DD308F" w:rsidRDefault="00C03C5E" w:rsidP="00CF6920">
            <w:pPr>
              <w:pStyle w:val="a4"/>
              <w:jc w:val="left"/>
              <w:rPr>
                <w:rFonts w:ascii="Arial" w:hAnsi="Arial" w:cs="Arial"/>
              </w:rPr>
            </w:pPr>
            <w:r w:rsidRPr="00DD308F">
              <w:rPr>
                <w:rFonts w:ascii="Arial" w:hAnsi="Arial" w:cs="Arial"/>
              </w:rPr>
              <w:t>Responding to MDBs independent audits (local due diligence)</w:t>
            </w:r>
          </w:p>
        </w:tc>
        <w:tc>
          <w:tcPr>
            <w:tcW w:w="2418" w:type="dxa"/>
            <w:tcBorders>
              <w:top w:val="single" w:sz="2" w:space="0" w:color="000000"/>
              <w:left w:val="single" w:sz="2" w:space="0" w:color="000000"/>
              <w:bottom w:val="single" w:sz="2" w:space="0" w:color="000000"/>
              <w:right w:val="none" w:sz="2" w:space="0" w:color="000000"/>
            </w:tcBorders>
            <w:tcMar>
              <w:top w:w="28" w:type="dxa"/>
              <w:left w:w="102" w:type="dxa"/>
              <w:bottom w:w="28" w:type="dxa"/>
              <w:right w:w="102" w:type="dxa"/>
            </w:tcMar>
            <w:vAlign w:val="center"/>
          </w:tcPr>
          <w:p w:rsidR="00E343FC" w:rsidRPr="00DD308F" w:rsidRDefault="00C03C5E" w:rsidP="00CF6920">
            <w:pPr>
              <w:pStyle w:val="a4"/>
              <w:jc w:val="left"/>
              <w:rPr>
                <w:rFonts w:ascii="Arial" w:hAnsi="Arial" w:cs="Arial"/>
              </w:rPr>
            </w:pPr>
            <w:r w:rsidRPr="00DD308F">
              <w:rPr>
                <w:rFonts w:ascii="Cambria Math" w:hAnsi="Cambria Math" w:cs="Cambria Math"/>
              </w:rPr>
              <w:t>․</w:t>
            </w:r>
            <w:r w:rsidRPr="00DD308F">
              <w:rPr>
                <w:rFonts w:ascii="Arial" w:hAnsi="Arial" w:cs="Arial"/>
              </w:rPr>
              <w:t xml:space="preserve">Use consultancy (or services) or </w:t>
            </w:r>
            <w:r w:rsidR="001808D3" w:rsidRPr="00DD308F">
              <w:rPr>
                <w:rFonts w:ascii="Arial" w:hAnsi="Arial" w:cs="Arial"/>
              </w:rPr>
              <w:t>c</w:t>
            </w:r>
            <w:r w:rsidR="001808D3" w:rsidRPr="00DD308F">
              <w:rPr>
                <w:rFonts w:ascii="Arial" w:hAnsi="Arial" w:cs="Arial"/>
              </w:rPr>
              <w:t>an be done directly</w:t>
            </w:r>
          </w:p>
        </w:tc>
      </w:tr>
    </w:tbl>
    <w:p w:rsidR="00E343FC" w:rsidRPr="00DD308F" w:rsidRDefault="00E343FC">
      <w:pPr>
        <w:pBdr>
          <w:top w:val="none" w:sz="2" w:space="0" w:color="000000"/>
          <w:left w:val="none" w:sz="2" w:space="0" w:color="000000"/>
          <w:bottom w:val="none" w:sz="2" w:space="0" w:color="000000"/>
          <w:right w:val="none" w:sz="2" w:space="0" w:color="000000"/>
        </w:pBdr>
        <w:rPr>
          <w:rFonts w:ascii="Arial" w:hAnsi="Arial" w:cs="Arial"/>
        </w:rPr>
      </w:pPr>
    </w:p>
    <w:p w:rsidR="00E343FC" w:rsidRPr="00DD308F" w:rsidRDefault="00C03C5E">
      <w:pPr>
        <w:pBdr>
          <w:top w:val="none" w:sz="2" w:space="0" w:color="000000"/>
          <w:left w:val="none" w:sz="2" w:space="0" w:color="000000"/>
          <w:bottom w:val="none" w:sz="2" w:space="0" w:color="000000"/>
          <w:right w:val="none" w:sz="2" w:space="0" w:color="000000"/>
        </w:pBdr>
        <w:rPr>
          <w:rFonts w:ascii="Arial" w:hAnsi="Arial" w:cs="Arial"/>
          <w:b/>
        </w:rPr>
      </w:pPr>
      <w:r w:rsidRPr="00DD308F">
        <w:rPr>
          <w:rFonts w:ascii="Arial" w:hAnsi="Arial" w:cs="Arial"/>
          <w:b/>
        </w:rPr>
        <w:t>3.5 Joint review and capacity building training</w:t>
      </w:r>
    </w:p>
    <w:p w:rsidR="00E343FC" w:rsidRPr="00DD308F" w:rsidRDefault="00C03C5E">
      <w:pPr>
        <w:pStyle w:val="a4"/>
        <w:rPr>
          <w:rFonts w:ascii="Arial" w:hAnsi="Arial" w:cs="Arial"/>
        </w:rPr>
      </w:pPr>
      <w:r w:rsidRPr="00DD308F">
        <w:rPr>
          <w:rFonts w:ascii="Arial" w:hAnsi="Arial" w:cs="Arial"/>
        </w:rPr>
        <w:t xml:space="preserve">As a result of the joint review, it was suggested that the work process and scope of environmental and social risks are appropriate, but that it is necessary to start environmental and social risk review at the pre-feasibility study stage and to supplement the environmental and social review staff within K-water. </w:t>
      </w:r>
    </w:p>
    <w:p w:rsidR="00E343FC" w:rsidRPr="00DD308F" w:rsidRDefault="00C03C5E">
      <w:pPr>
        <w:pStyle w:val="a4"/>
        <w:rPr>
          <w:rFonts w:ascii="Arial" w:hAnsi="Arial" w:cs="Arial"/>
        </w:rPr>
      </w:pPr>
      <w:r w:rsidRPr="00DD308F">
        <w:rPr>
          <w:rFonts w:ascii="Arial" w:hAnsi="Arial" w:cs="Arial"/>
        </w:rPr>
        <w:t xml:space="preserve">In addition, K-water conducted two capacity-building trainings for employees in charge of overseas </w:t>
      </w:r>
      <w:r w:rsidR="00EB2CBC" w:rsidRPr="00DD308F">
        <w:rPr>
          <w:rFonts w:ascii="Arial" w:hAnsi="Arial" w:cs="Arial"/>
        </w:rPr>
        <w:t>project</w:t>
      </w:r>
      <w:r w:rsidRPr="00DD308F">
        <w:rPr>
          <w:rFonts w:ascii="Arial" w:hAnsi="Arial" w:cs="Arial"/>
        </w:rPr>
        <w:t xml:space="preserve"> in K</w:t>
      </w:r>
      <w:r w:rsidR="00A97244" w:rsidRPr="00DD308F">
        <w:rPr>
          <w:rFonts w:ascii="Arial" w:hAnsi="Arial" w:cs="Arial"/>
        </w:rPr>
        <w:t>-water</w:t>
      </w:r>
      <w:r w:rsidRPr="00DD308F">
        <w:rPr>
          <w:rFonts w:ascii="Arial" w:hAnsi="Arial" w:cs="Arial"/>
        </w:rPr>
        <w:t>. One training was conducted through the International Finance Corporation (IFC) and one through a global environmental and social consultant.</w:t>
      </w:r>
    </w:p>
    <w:p w:rsidR="00C03C5E" w:rsidRPr="00DD308F" w:rsidRDefault="00C03C5E">
      <w:pPr>
        <w:pStyle w:val="a4"/>
        <w:rPr>
          <w:rFonts w:ascii="Arial" w:hAnsi="Arial" w:cs="Arial"/>
        </w:rPr>
      </w:pPr>
    </w:p>
    <w:p w:rsidR="00E343FC" w:rsidRPr="00DD308F" w:rsidRDefault="00C03C5E">
      <w:pPr>
        <w:pStyle w:val="a4"/>
        <w:rPr>
          <w:rFonts w:ascii="Arial" w:hAnsi="Arial" w:cs="Arial"/>
        </w:rPr>
      </w:pPr>
      <w:r w:rsidRPr="00DD308F">
        <w:rPr>
          <w:rFonts w:ascii="Arial" w:hAnsi="Arial" w:cs="Arial"/>
          <w:b/>
        </w:rPr>
        <w:t>4. Discussion</w:t>
      </w:r>
    </w:p>
    <w:p w:rsidR="00E343FC" w:rsidRPr="00DD308F" w:rsidRDefault="00C03C5E">
      <w:pPr>
        <w:pStyle w:val="a4"/>
        <w:rPr>
          <w:rFonts w:ascii="Arial" w:hAnsi="Arial" w:cs="Arial"/>
        </w:rPr>
      </w:pPr>
      <w:r w:rsidRPr="00DD308F">
        <w:rPr>
          <w:rFonts w:ascii="Arial" w:hAnsi="Arial" w:cs="Arial"/>
        </w:rPr>
        <w:t xml:space="preserve">K-water has been facing various difficulties with environmental and social issues in its overseas </w:t>
      </w:r>
      <w:r w:rsidR="00EB2CBC" w:rsidRPr="00DD308F">
        <w:rPr>
          <w:rFonts w:ascii="Arial" w:hAnsi="Arial" w:cs="Arial"/>
        </w:rPr>
        <w:t>project</w:t>
      </w:r>
      <w:r w:rsidRPr="00DD308F">
        <w:rPr>
          <w:rFonts w:ascii="Arial" w:hAnsi="Arial" w:cs="Arial"/>
        </w:rPr>
        <w:t>. We expect that many of these difficulties will be resolved through the establishment of</w:t>
      </w:r>
      <w:r w:rsidR="006B7D9F" w:rsidRPr="00DD308F">
        <w:rPr>
          <w:rFonts w:ascii="Arial" w:hAnsi="Arial" w:cs="Arial"/>
        </w:rPr>
        <w:t xml:space="preserve"> </w:t>
      </w:r>
      <w:r w:rsidR="006B7D9F" w:rsidRPr="00DD308F">
        <w:rPr>
          <w:rFonts w:ascii="Arial" w:hAnsi="Arial" w:cs="Arial"/>
        </w:rPr>
        <w:t>environmental and social</w:t>
      </w:r>
      <w:r w:rsidR="006B7D9F" w:rsidRPr="00DD308F">
        <w:rPr>
          <w:rFonts w:ascii="Arial" w:hAnsi="Arial" w:cs="Arial"/>
        </w:rPr>
        <w:t xml:space="preserve"> frameworks</w:t>
      </w:r>
      <w:r w:rsidRPr="00DD308F">
        <w:rPr>
          <w:rFonts w:ascii="Arial" w:hAnsi="Arial" w:cs="Arial"/>
        </w:rPr>
        <w:t xml:space="preserve"> for K-water's overseas projects</w:t>
      </w:r>
      <w:r w:rsidR="006B7D9F" w:rsidRPr="00DD308F">
        <w:rPr>
          <w:rFonts w:ascii="Arial" w:hAnsi="Arial" w:cs="Arial"/>
        </w:rPr>
        <w:t xml:space="preserve"> at the cooperate level</w:t>
      </w:r>
      <w:r w:rsidRPr="00DD308F">
        <w:rPr>
          <w:rFonts w:ascii="Arial" w:hAnsi="Arial" w:cs="Arial"/>
        </w:rPr>
        <w:t xml:space="preserve">. Looking back, it is true that K-water focused only on complying with </w:t>
      </w:r>
      <w:r w:rsidR="006B7D9F" w:rsidRPr="00DD308F">
        <w:rPr>
          <w:rFonts w:ascii="Arial" w:hAnsi="Arial" w:cs="Arial"/>
        </w:rPr>
        <w:t xml:space="preserve">countries </w:t>
      </w:r>
      <w:r w:rsidRPr="00DD308F">
        <w:rPr>
          <w:rFonts w:ascii="Arial" w:hAnsi="Arial" w:cs="Arial"/>
        </w:rPr>
        <w:t>laws and regulations</w:t>
      </w:r>
      <w:r w:rsidR="006B7D9F" w:rsidRPr="00DD308F">
        <w:rPr>
          <w:rFonts w:ascii="Arial" w:hAnsi="Arial" w:cs="Arial"/>
        </w:rPr>
        <w:t xml:space="preserve"> of the </w:t>
      </w:r>
      <w:r w:rsidR="006B7D9F" w:rsidRPr="00DD308F">
        <w:rPr>
          <w:rFonts w:ascii="Arial" w:hAnsi="Arial" w:cs="Arial"/>
        </w:rPr>
        <w:lastRenderedPageBreak/>
        <w:t>project</w:t>
      </w:r>
      <w:r w:rsidRPr="00DD308F">
        <w:rPr>
          <w:rFonts w:ascii="Arial" w:hAnsi="Arial" w:cs="Arial"/>
        </w:rPr>
        <w:t xml:space="preserve"> while implementing projects</w:t>
      </w:r>
      <w:r w:rsidR="006B7D9F" w:rsidRPr="00DD308F">
        <w:rPr>
          <w:rFonts w:ascii="Arial" w:hAnsi="Arial" w:cs="Arial"/>
        </w:rPr>
        <w:t xml:space="preserve">, and </w:t>
      </w:r>
      <w:r w:rsidRPr="00DD308F">
        <w:rPr>
          <w:rFonts w:ascii="Arial" w:hAnsi="Arial" w:cs="Arial"/>
        </w:rPr>
        <w:t>also true that K-water was not aware of the existence of MDBs' own environmental and social policies when implementing projects in underdeveloped countries where laws and regulations are not well established</w:t>
      </w:r>
      <w:r w:rsidR="007505FA" w:rsidRPr="00DD308F">
        <w:rPr>
          <w:rFonts w:ascii="Arial" w:hAnsi="Arial" w:cs="Arial"/>
        </w:rPr>
        <w:t>. K-water</w:t>
      </w:r>
      <w:r w:rsidRPr="00DD308F">
        <w:rPr>
          <w:rFonts w:ascii="Arial" w:hAnsi="Arial" w:cs="Arial"/>
        </w:rPr>
        <w:t xml:space="preserve"> is expect</w:t>
      </w:r>
      <w:r w:rsidR="007505FA" w:rsidRPr="00DD308F">
        <w:rPr>
          <w:rFonts w:ascii="Arial" w:hAnsi="Arial" w:cs="Arial"/>
        </w:rPr>
        <w:t>ing</w:t>
      </w:r>
      <w:r w:rsidRPr="00DD308F">
        <w:rPr>
          <w:rFonts w:ascii="Arial" w:hAnsi="Arial" w:cs="Arial"/>
        </w:rPr>
        <w:t xml:space="preserve"> that the establishment of its own policy will accelerate the promotion of overseas projects that meet global standards. K-water's Environmental and Social </w:t>
      </w:r>
      <w:r w:rsidR="007505FA" w:rsidRPr="00DD308F">
        <w:rPr>
          <w:rFonts w:ascii="Arial" w:hAnsi="Arial" w:cs="Arial"/>
        </w:rPr>
        <w:t>Frameworks</w:t>
      </w:r>
      <w:r w:rsidRPr="00DD308F">
        <w:rPr>
          <w:rFonts w:ascii="Arial" w:hAnsi="Arial" w:cs="Arial"/>
        </w:rPr>
        <w:t xml:space="preserve"> for Overseas </w:t>
      </w:r>
      <w:r w:rsidR="007505FA" w:rsidRPr="00DD308F">
        <w:rPr>
          <w:rFonts w:ascii="Arial" w:hAnsi="Arial" w:cs="Arial"/>
        </w:rPr>
        <w:t>Project</w:t>
      </w:r>
      <w:r w:rsidRPr="00DD308F">
        <w:rPr>
          <w:rFonts w:ascii="Arial" w:hAnsi="Arial" w:cs="Arial"/>
        </w:rPr>
        <w:t xml:space="preserve"> is the first case in Korea at the corporate level, and we will continue to improve them in line with the changing global environment.</w:t>
      </w:r>
    </w:p>
    <w:p w:rsidR="00E343FC" w:rsidRPr="00DD308F" w:rsidRDefault="00E343FC">
      <w:pPr>
        <w:pStyle w:val="a4"/>
        <w:rPr>
          <w:rFonts w:ascii="Arial" w:hAnsi="Arial" w:cs="Arial"/>
        </w:rPr>
      </w:pPr>
    </w:p>
    <w:p w:rsidR="00E343FC" w:rsidRPr="00DD308F" w:rsidRDefault="00C03C5E">
      <w:pPr>
        <w:rPr>
          <w:rFonts w:ascii="Arial" w:hAnsi="Arial" w:cs="Arial"/>
        </w:rPr>
      </w:pPr>
      <w:r w:rsidRPr="00DD308F">
        <w:rPr>
          <w:rFonts w:ascii="Arial" w:hAnsi="Arial" w:cs="Arial"/>
          <w:b/>
        </w:rPr>
        <w:t>5. Reference</w:t>
      </w:r>
    </w:p>
    <w:p w:rsidR="00E343FC" w:rsidRPr="00DD308F" w:rsidRDefault="00C03C5E">
      <w:pPr>
        <w:pStyle w:val="a4"/>
        <w:rPr>
          <w:rFonts w:ascii="Arial" w:hAnsi="Arial" w:cs="Arial"/>
        </w:rPr>
      </w:pPr>
      <w:r w:rsidRPr="00DD308F">
        <w:rPr>
          <w:rFonts w:ascii="Arial" w:hAnsi="Arial" w:cs="Arial"/>
        </w:rPr>
        <w:t>IDB (2018), Corporate Evaluation Environmental and Social Safeguards Evaluation</w:t>
      </w:r>
    </w:p>
    <w:p w:rsidR="00E343FC" w:rsidRPr="00DD308F" w:rsidRDefault="00C03C5E">
      <w:pPr>
        <w:pStyle w:val="a4"/>
        <w:rPr>
          <w:rFonts w:ascii="Arial" w:hAnsi="Arial" w:cs="Arial"/>
        </w:rPr>
      </w:pPr>
      <w:r w:rsidRPr="00DD308F">
        <w:rPr>
          <w:rFonts w:ascii="Arial" w:hAnsi="Arial" w:cs="Arial"/>
        </w:rPr>
        <w:t xml:space="preserve">K-water (2023), Overseas </w:t>
      </w:r>
      <w:r w:rsidR="00EB2CBC" w:rsidRPr="00DD308F">
        <w:rPr>
          <w:rFonts w:ascii="Arial" w:hAnsi="Arial" w:cs="Arial"/>
        </w:rPr>
        <w:t>Project</w:t>
      </w:r>
      <w:r w:rsidRPr="00DD308F">
        <w:rPr>
          <w:rFonts w:ascii="Arial" w:hAnsi="Arial" w:cs="Arial"/>
        </w:rPr>
        <w:t xml:space="preserve"> Environmental, Social and Technical Standardization Project.</w:t>
      </w:r>
    </w:p>
    <w:p w:rsidR="00E343FC" w:rsidRPr="00DD308F" w:rsidRDefault="00C03C5E">
      <w:pPr>
        <w:pStyle w:val="a4"/>
        <w:rPr>
          <w:rFonts w:ascii="Arial" w:hAnsi="Arial" w:cs="Arial"/>
        </w:rPr>
      </w:pPr>
      <w:r w:rsidRPr="00DD308F">
        <w:rPr>
          <w:rFonts w:ascii="Arial" w:hAnsi="Arial" w:cs="Arial"/>
        </w:rPr>
        <w:t>IFC (2012), Performance Standards on Environmental and Social Sustainability</w:t>
      </w:r>
    </w:p>
    <w:p w:rsidR="00E343FC" w:rsidRPr="00DD308F" w:rsidRDefault="00C03C5E">
      <w:pPr>
        <w:pStyle w:val="a4"/>
        <w:rPr>
          <w:rFonts w:ascii="Arial" w:hAnsi="Arial" w:cs="Arial"/>
        </w:rPr>
      </w:pPr>
      <w:r w:rsidRPr="00DD308F">
        <w:rPr>
          <w:rFonts w:ascii="Arial" w:hAnsi="Arial" w:cs="Arial"/>
        </w:rPr>
        <w:t>Word Bank, Environmental, health, and safety guidelines</w:t>
      </w:r>
    </w:p>
    <w:sectPr w:rsidR="00E343FC" w:rsidRPr="00DD308F">
      <w:footnotePr>
        <w:numFmt w:val="lowerRoman"/>
      </w:footnotePr>
      <w:endnotePr>
        <w:numFmt w:val="decimal"/>
      </w:endnotePr>
      <w:pgSz w:w="11906" w:h="16838"/>
      <w:pgMar w:top="1701"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43FC"/>
    <w:rsid w:val="00023B46"/>
    <w:rsid w:val="000473CF"/>
    <w:rsid w:val="00095F9A"/>
    <w:rsid w:val="001808D3"/>
    <w:rsid w:val="00283598"/>
    <w:rsid w:val="002921C3"/>
    <w:rsid w:val="002E2F71"/>
    <w:rsid w:val="003273BE"/>
    <w:rsid w:val="00351081"/>
    <w:rsid w:val="003A693B"/>
    <w:rsid w:val="003F1B51"/>
    <w:rsid w:val="00402E61"/>
    <w:rsid w:val="00441B46"/>
    <w:rsid w:val="00467F29"/>
    <w:rsid w:val="00497C03"/>
    <w:rsid w:val="00570EF5"/>
    <w:rsid w:val="006B7514"/>
    <w:rsid w:val="006B7D9F"/>
    <w:rsid w:val="006E087C"/>
    <w:rsid w:val="006F12A6"/>
    <w:rsid w:val="00721DF6"/>
    <w:rsid w:val="0072522A"/>
    <w:rsid w:val="007505FA"/>
    <w:rsid w:val="00777906"/>
    <w:rsid w:val="007C3FAF"/>
    <w:rsid w:val="0096402E"/>
    <w:rsid w:val="00A97244"/>
    <w:rsid w:val="00AE610D"/>
    <w:rsid w:val="00B474CB"/>
    <w:rsid w:val="00BA7735"/>
    <w:rsid w:val="00C03C5E"/>
    <w:rsid w:val="00C27587"/>
    <w:rsid w:val="00C3064E"/>
    <w:rsid w:val="00CB1EB3"/>
    <w:rsid w:val="00CC569C"/>
    <w:rsid w:val="00CD7924"/>
    <w:rsid w:val="00CF6920"/>
    <w:rsid w:val="00D703B7"/>
    <w:rsid w:val="00DC2A62"/>
    <w:rsid w:val="00DD308F"/>
    <w:rsid w:val="00E0279E"/>
    <w:rsid w:val="00E343FC"/>
    <w:rsid w:val="00EA106E"/>
    <w:rsid w:val="00EB2CBC"/>
    <w:rsid w:val="00ED4785"/>
    <w:rsid w:val="00F60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602A61EC"/>
  <w15:docId w15:val="{1B95640F-6495-4DD6-8FE5-B796442D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2"/>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
    <w:name w:val="목록 없음1"/>
    <w:uiPriority w:val="3"/>
    <w:pPr>
      <w:widowControl w:val="0"/>
      <w:pBdr>
        <w:top w:val="none" w:sz="2" w:space="1" w:color="000000"/>
        <w:left w:val="none" w:sz="2" w:space="4" w:color="000000"/>
        <w:bottom w:val="none" w:sz="2" w:space="1" w:color="000000"/>
        <w:right w:val="none" w:sz="2" w:space="4" w:color="000000"/>
      </w:pBdr>
      <w:autoSpaceDE w:val="0"/>
      <w:autoSpaceDN w:val="0"/>
      <w:spacing w:line="256" w:lineRule="auto"/>
      <w:textAlignment w:val="baseline"/>
    </w:pPr>
    <w:rPr>
      <w:rFonts w:ascii="맑은 고딕" w:eastAsia="맑은 고딕"/>
      <w:color w:val="000000"/>
      <w:kern w:val="1"/>
    </w:rPr>
  </w:style>
  <w:style w:type="paragraph" w:styleId="a4">
    <w:name w:val="No Spacing"/>
    <w:uiPriority w:val="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5">
    <w:name w:val="Normal (Web)"/>
    <w:uiPriority w:val="5"/>
    <w:pPr>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sz w:val="24"/>
    </w:rPr>
  </w:style>
  <w:style w:type="paragraph" w:customStyle="1" w:styleId="10">
    <w:name w:val="바탕글1"/>
    <w:uiPriority w:val="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한양신명조" w:eastAsia="굴림"/>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2993</Words>
  <Characters>17066</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K-water Safeguard Specialist</dc:creator>
  <cp:keywords>, docId:530363A220A468A7AD9E687B81F88E1A</cp:keywords>
  <cp:lastModifiedBy>K-water Safeguard Specialist</cp:lastModifiedBy>
  <cp:revision>41</cp:revision>
  <dcterms:created xsi:type="dcterms:W3CDTF">2024-03-31T23:34:00Z</dcterms:created>
  <dcterms:modified xsi:type="dcterms:W3CDTF">2024-04-01T04:17:00Z</dcterms:modified>
  <cp:version>0501.0001.01</cp:version>
</cp:coreProperties>
</file>